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Adamchak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BIONANO GENOMICS,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9540 TOWNE CENTRE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08/03/2026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Bionano Genomics, Inc.</w:t>
              </w:r>
            </w:hyperlink>
            <w:r>
              <w:rPr/>
              <w:t xml:space="preserve"> [ </w:t>
            </w:r>
            <w:r>
              <w:rPr>
                <w:rFonts w:ascii="Times;serif" w:hAnsi="Times;serif"/>
                <w:color w:val="0000FF"/>
                <w:sz w:val="24"/>
                <w:shd w:fill="FFFFFF" w:val="clear"/>
              </w:rPr>
              <w:t>BNGO</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Principal Accounting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82"/>
        <w:gridCol w:w="1223"/>
        <w:gridCol w:w="1130"/>
        <w:gridCol w:w="1351"/>
        <w:gridCol w:w="938"/>
        <w:gridCol w:w="1267"/>
        <w:gridCol w:w="1230"/>
        <w:gridCol w:w="1384"/>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8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8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5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8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08/02/2036</w:t>
            </w:r>
          </w:p>
        </w:tc>
        <w:tc>
          <w:tcPr>
            <w:tcW w:w="13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5,000</w:t>
            </w:r>
          </w:p>
        </w:tc>
        <w:tc>
          <w:tcPr>
            <w:tcW w:w="12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1.12</w:t>
            </w:r>
          </w:p>
        </w:tc>
        <w:tc>
          <w:tcPr>
            <w:tcW w:w="12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the option vest 50% of the total on each of the first and second anniversaries of the vesting commencement date, in each case subject to the Reporting Person's Continuous Service (as defined in the Company's 2018 Plan)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Jonathan V. Dixon,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36536" TargetMode="External"/><Relationship Id="rId3" Type="http://schemas.openxmlformats.org/officeDocument/2006/relationships/hyperlink" Target="http://www.sec.gov/cgi-bin/browse-edgar?action=getcompany&amp;CIK=0001411690"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451</Words>
  <Characters>2484</Characters>
  <CharactersWithSpaces>2883</CharactersWithSpaces>
  <Paragraphs>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