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27, 2026</w:t>
      </w:r>
    </w:p>
    <w:p>
      <w:pPr>
        <w:spacing w:after="0" w:line="26" w:lineRule="exact"/>
        <w:rPr>
          <w:sz w:val="24"/>
          <w:szCs w:val="24"/>
          <w:color w:val="auto"/>
        </w:rPr>
      </w:pPr>
    </w:p>
    <w:p>
      <w:pPr>
        <w:ind w:left="646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677545</wp:posOffset>
            </wp:positionH>
            <wp:positionV relativeFrom="paragraph">
              <wp:posOffset>27305</wp:posOffset>
            </wp:positionV>
            <wp:extent cx="436435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64355" cy="13335"/>
                    </a:xfrm>
                    <a:prstGeom prst="rect">
                      <a:avLst/>
                    </a:prstGeom>
                    <a:noFill/>
                  </pic:spPr>
                </pic:pic>
              </a:graphicData>
            </a:graphic>
          </wp:anchor>
        </w:drawing>
      </w:r>
    </w:p>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2564765</wp:posOffset>
            </wp:positionH>
            <wp:positionV relativeFrom="paragraph">
              <wp:posOffset>52705</wp:posOffset>
            </wp:positionV>
            <wp:extent cx="5905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0" cy="6985"/>
                    </a:xfrm>
                    <a:prstGeom prst="rect">
                      <a:avLst/>
                    </a:prstGeom>
                    <a:noFill/>
                  </pic:spPr>
                </pic:pic>
              </a:graphicData>
            </a:graphic>
          </wp:anchor>
        </w:drawing>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1</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UNDER</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2564765</wp:posOffset>
            </wp:positionH>
            <wp:positionV relativeFrom="paragraph">
              <wp:posOffset>57150</wp:posOffset>
            </wp:positionV>
            <wp:extent cx="5905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0" cy="6985"/>
                    </a:xfrm>
                    <a:prstGeom prst="rect">
                      <a:avLst/>
                    </a:prstGeom>
                    <a:noFill/>
                  </pic:spPr>
                </pic:pic>
              </a:graphicData>
            </a:graphic>
          </wp:anchor>
        </w:drawing>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Bionano Genomics, Inc.</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2564765</wp:posOffset>
            </wp:positionH>
            <wp:positionV relativeFrom="paragraph">
              <wp:posOffset>46355</wp:posOffset>
            </wp:positionV>
            <wp:extent cx="5905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0" cy="6985"/>
                    </a:xfrm>
                    <a:prstGeom prst="rect">
                      <a:avLst/>
                    </a:prstGeom>
                    <a:noFill/>
                  </pic:spPr>
                </pic:pic>
              </a:graphicData>
            </a:graphic>
          </wp:anchor>
        </w:drawing>
      </w:r>
    </w:p>
    <w:p>
      <w:pPr>
        <w:spacing w:after="0" w:line="91" w:lineRule="exact"/>
        <w:rPr>
          <w:sz w:val="24"/>
          <w:szCs w:val="24"/>
          <w:color w:val="auto"/>
        </w:rPr>
      </w:pPr>
    </w:p>
    <w:tbl>
      <w:tblPr>
        <w:tblLayout w:type="fixed"/>
        <w:tblInd w:w="1520" w:type="dxa"/>
        <w:tblCellMar>
          <w:top w:w="0" w:type="dxa"/>
          <w:left w:w="0" w:type="dxa"/>
          <w:bottom w:w="0" w:type="dxa"/>
          <w:right w:w="0" w:type="dxa"/>
        </w:tblCellMar>
      </w:tblPr>
      <w:tr>
        <w:trPr>
          <w:trHeight w:val="126"/>
        </w:trPr>
        <w:tc>
          <w:tcPr>
            <w:tcW w:w="1860" w:type="dxa"/>
            <w:vAlign w:val="bottom"/>
          </w:tcPr>
          <w:p>
            <w:pPr>
              <w:jc w:val="center"/>
              <w:ind w:right="42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4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3826</w:t>
            </w:r>
          </w:p>
        </w:tc>
        <w:tc>
          <w:tcPr>
            <w:tcW w:w="1440" w:type="dxa"/>
            <w:vAlign w:val="bottom"/>
          </w:tcPr>
          <w:p>
            <w:pPr>
              <w:jc w:val="center"/>
              <w:ind w:left="543"/>
              <w:spacing w:after="0"/>
              <w:rPr>
                <w:sz w:val="20"/>
                <w:szCs w:val="20"/>
                <w:color w:val="auto"/>
              </w:rPr>
            </w:pPr>
            <w:r>
              <w:rPr>
                <w:rFonts w:ascii="Times New Roman" w:cs="Times New Roman" w:eastAsia="Times New Roman" w:hAnsi="Times New Roman"/>
                <w:sz w:val="11"/>
                <w:szCs w:val="11"/>
                <w:b w:val="1"/>
                <w:bCs w:val="1"/>
                <w:color w:val="auto"/>
              </w:rPr>
              <w:t>26-1756290</w:t>
            </w:r>
          </w:p>
        </w:tc>
      </w:tr>
      <w:tr>
        <w:trPr>
          <w:trHeight w:val="118"/>
        </w:trPr>
        <w:tc>
          <w:tcPr>
            <w:tcW w:w="1860" w:type="dxa"/>
            <w:vAlign w:val="bottom"/>
          </w:tcPr>
          <w:p>
            <w:pPr>
              <w:jc w:val="center"/>
              <w:ind w:right="443"/>
              <w:spacing w:after="0" w:line="118"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2440" w:type="dxa"/>
            <w:vAlign w:val="bottom"/>
          </w:tcPr>
          <w:p>
            <w:pPr>
              <w:jc w:val="center"/>
              <w:ind w:right="43"/>
              <w:spacing w:after="0" w:line="118" w:lineRule="exact"/>
              <w:rPr>
                <w:sz w:val="20"/>
                <w:szCs w:val="20"/>
                <w:color w:val="auto"/>
              </w:rPr>
            </w:pPr>
            <w:r>
              <w:rPr>
                <w:rFonts w:ascii="Times New Roman" w:cs="Times New Roman" w:eastAsia="Times New Roman" w:hAnsi="Times New Roman"/>
                <w:sz w:val="11"/>
                <w:szCs w:val="11"/>
                <w:color w:val="auto"/>
              </w:rPr>
              <w:t>(Primary Standard Industrial</w:t>
            </w:r>
          </w:p>
        </w:tc>
        <w:tc>
          <w:tcPr>
            <w:tcW w:w="1440" w:type="dxa"/>
            <w:vAlign w:val="bottom"/>
          </w:tcPr>
          <w:p>
            <w:pPr>
              <w:jc w:val="center"/>
              <w:ind w:left="563"/>
              <w:spacing w:after="0" w:line="118" w:lineRule="exact"/>
              <w:rPr>
                <w:sz w:val="20"/>
                <w:szCs w:val="20"/>
                <w:color w:val="auto"/>
              </w:rPr>
            </w:pPr>
            <w:r>
              <w:rPr>
                <w:rFonts w:ascii="Times New Roman" w:cs="Times New Roman" w:eastAsia="Times New Roman" w:hAnsi="Times New Roman"/>
                <w:sz w:val="11"/>
                <w:szCs w:val="11"/>
                <w:color w:val="auto"/>
              </w:rPr>
              <w:t>(I.R.S. Employer</w:t>
            </w:r>
          </w:p>
        </w:tc>
      </w:tr>
      <w:tr>
        <w:trPr>
          <w:trHeight w:val="148"/>
        </w:trPr>
        <w:tc>
          <w:tcPr>
            <w:tcW w:w="1860" w:type="dxa"/>
            <w:vAlign w:val="bottom"/>
          </w:tcPr>
          <w:p>
            <w:pPr>
              <w:jc w:val="center"/>
              <w:ind w:right="423"/>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244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Classification Code Number)</w:t>
            </w:r>
          </w:p>
        </w:tc>
        <w:tc>
          <w:tcPr>
            <w:tcW w:w="1440" w:type="dxa"/>
            <w:vAlign w:val="bottom"/>
          </w:tcPr>
          <w:p>
            <w:pPr>
              <w:jc w:val="center"/>
              <w:ind w:left="543"/>
              <w:spacing w:after="0"/>
              <w:rPr>
                <w:sz w:val="20"/>
                <w:szCs w:val="20"/>
                <w:color w:val="auto"/>
              </w:rPr>
            </w:pPr>
            <w:r>
              <w:rPr>
                <w:rFonts w:ascii="Times New Roman" w:cs="Times New Roman" w:eastAsia="Times New Roman" w:hAnsi="Times New Roman"/>
                <w:sz w:val="11"/>
                <w:szCs w:val="11"/>
                <w:color w:val="auto"/>
              </w:rPr>
              <w:t>Identification No.)</w:t>
            </w:r>
          </w:p>
        </w:tc>
      </w:tr>
    </w:tbl>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Bionano Genomics, Inc.</w:t>
      </w:r>
    </w:p>
    <w:p>
      <w:pPr>
        <w:jc w:val="center"/>
        <w:ind w:right="19"/>
        <w:spacing w:after="0" w:line="232" w:lineRule="auto"/>
        <w:rPr>
          <w:sz w:val="20"/>
          <w:szCs w:val="20"/>
          <w:color w:val="auto"/>
        </w:rPr>
      </w:pPr>
      <w:r>
        <w:rPr>
          <w:rFonts w:ascii="Times New Roman" w:cs="Times New Roman" w:eastAsia="Times New Roman" w:hAnsi="Times New Roman"/>
          <w:sz w:val="11"/>
          <w:szCs w:val="11"/>
          <w:b w:val="1"/>
          <w:bCs w:val="1"/>
          <w:color w:val="auto"/>
        </w:rPr>
        <w:t>9540 Towne Centre Drive, Suite 100</w:t>
      </w:r>
    </w:p>
    <w:p>
      <w:pPr>
        <w:jc w:val="center"/>
        <w:ind w:right="19"/>
        <w:spacing w:after="0" w:line="223" w:lineRule="auto"/>
        <w:rPr>
          <w:sz w:val="20"/>
          <w:szCs w:val="20"/>
          <w:color w:val="auto"/>
        </w:rPr>
      </w:pPr>
      <w:r>
        <w:rPr>
          <w:rFonts w:ascii="Times New Roman" w:cs="Times New Roman" w:eastAsia="Times New Roman" w:hAnsi="Times New Roman"/>
          <w:sz w:val="11"/>
          <w:szCs w:val="11"/>
          <w:b w:val="1"/>
          <w:bCs w:val="1"/>
          <w:color w:val="auto"/>
        </w:rPr>
        <w:t>San Diego, California 92121</w:t>
      </w:r>
    </w:p>
    <w:p>
      <w:pPr>
        <w:jc w:val="center"/>
        <w:ind w:right="39"/>
        <w:spacing w:after="0" w:line="223" w:lineRule="auto"/>
        <w:rPr>
          <w:sz w:val="20"/>
          <w:szCs w:val="20"/>
          <w:color w:val="auto"/>
        </w:rPr>
      </w:pPr>
      <w:r>
        <w:rPr>
          <w:rFonts w:ascii="Times New Roman" w:cs="Times New Roman" w:eastAsia="Times New Roman" w:hAnsi="Times New Roman"/>
          <w:sz w:val="11"/>
          <w:szCs w:val="11"/>
          <w:b w:val="1"/>
          <w:bCs w:val="1"/>
          <w:color w:val="auto"/>
        </w:rPr>
        <w:t>(858) 888-7600</w:t>
      </w:r>
    </w:p>
    <w:p>
      <w:pPr>
        <w:jc w:val="center"/>
        <w:ind w:right="1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2564765</wp:posOffset>
            </wp:positionH>
            <wp:positionV relativeFrom="paragraph">
              <wp:posOffset>45085</wp:posOffset>
            </wp:positionV>
            <wp:extent cx="5905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550" cy="6985"/>
                    </a:xfrm>
                    <a:prstGeom prst="rect">
                      <a:avLst/>
                    </a:prstGeom>
                    <a:noFill/>
                  </pic:spPr>
                </pic:pic>
              </a:graphicData>
            </a:graphic>
          </wp:anchor>
        </w:drawing>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Albert A. Luderer, Ph.D.</w:t>
      </w:r>
    </w:p>
    <w:p>
      <w:pPr>
        <w:jc w:val="center"/>
        <w:ind w:right="19"/>
        <w:spacing w:after="0" w:line="232" w:lineRule="auto"/>
        <w:rPr>
          <w:sz w:val="20"/>
          <w:szCs w:val="20"/>
          <w:color w:val="auto"/>
        </w:rPr>
      </w:pPr>
      <w:r>
        <w:rPr>
          <w:rFonts w:ascii="Times New Roman" w:cs="Times New Roman" w:eastAsia="Times New Roman" w:hAnsi="Times New Roman"/>
          <w:sz w:val="11"/>
          <w:szCs w:val="11"/>
          <w:b w:val="1"/>
          <w:bCs w:val="1"/>
          <w:color w:val="auto"/>
        </w:rPr>
        <w:t>Interim Chief Executive Officer</w:t>
      </w:r>
    </w:p>
    <w:p>
      <w:pPr>
        <w:jc w:val="center"/>
        <w:ind w:right="19"/>
        <w:spacing w:after="0" w:line="223" w:lineRule="auto"/>
        <w:rPr>
          <w:sz w:val="20"/>
          <w:szCs w:val="20"/>
          <w:color w:val="auto"/>
        </w:rPr>
      </w:pPr>
      <w:r>
        <w:rPr>
          <w:rFonts w:ascii="Times New Roman" w:cs="Times New Roman" w:eastAsia="Times New Roman" w:hAnsi="Times New Roman"/>
          <w:sz w:val="11"/>
          <w:szCs w:val="11"/>
          <w:b w:val="1"/>
          <w:bCs w:val="1"/>
          <w:color w:val="auto"/>
        </w:rPr>
        <w:t>Bionano Genomics, Inc.</w:t>
      </w:r>
    </w:p>
    <w:p>
      <w:pPr>
        <w:jc w:val="center"/>
        <w:ind w:right="19"/>
        <w:spacing w:after="0" w:line="223" w:lineRule="auto"/>
        <w:rPr>
          <w:sz w:val="20"/>
          <w:szCs w:val="20"/>
          <w:color w:val="auto"/>
        </w:rPr>
      </w:pPr>
      <w:r>
        <w:rPr>
          <w:rFonts w:ascii="Times New Roman" w:cs="Times New Roman" w:eastAsia="Times New Roman" w:hAnsi="Times New Roman"/>
          <w:sz w:val="11"/>
          <w:szCs w:val="11"/>
          <w:b w:val="1"/>
          <w:bCs w:val="1"/>
          <w:color w:val="auto"/>
        </w:rPr>
        <w:t>9540 Towne Centre Drive, Suite 100</w:t>
      </w:r>
    </w:p>
    <w:p>
      <w:pPr>
        <w:jc w:val="center"/>
        <w:ind w:right="19"/>
        <w:spacing w:after="0" w:line="224" w:lineRule="auto"/>
        <w:rPr>
          <w:sz w:val="20"/>
          <w:szCs w:val="20"/>
          <w:color w:val="auto"/>
        </w:rPr>
      </w:pPr>
      <w:r>
        <w:rPr>
          <w:rFonts w:ascii="Times New Roman" w:cs="Times New Roman" w:eastAsia="Times New Roman" w:hAnsi="Times New Roman"/>
          <w:sz w:val="11"/>
          <w:szCs w:val="11"/>
          <w:b w:val="1"/>
          <w:bCs w:val="1"/>
          <w:color w:val="auto"/>
        </w:rPr>
        <w:t>San Diego, California 92121</w:t>
      </w:r>
    </w:p>
    <w:p>
      <w:pPr>
        <w:jc w:val="center"/>
        <w:ind w:right="19"/>
        <w:spacing w:after="0" w:line="223" w:lineRule="auto"/>
        <w:rPr>
          <w:sz w:val="20"/>
          <w:szCs w:val="20"/>
          <w:color w:val="auto"/>
        </w:rPr>
      </w:pPr>
      <w:r>
        <w:rPr>
          <w:rFonts w:ascii="Times New Roman" w:cs="Times New Roman" w:eastAsia="Times New Roman" w:hAnsi="Times New Roman"/>
          <w:sz w:val="11"/>
          <w:szCs w:val="11"/>
          <w:b w:val="1"/>
          <w:bCs w:val="1"/>
          <w:color w:val="auto"/>
        </w:rPr>
        <w:t>(858) 888-7600</w:t>
      </w: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2632710</wp:posOffset>
            </wp:positionH>
            <wp:positionV relativeFrom="paragraph">
              <wp:posOffset>45085</wp:posOffset>
            </wp:positionV>
            <wp:extent cx="4546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4660" cy="6985"/>
                    </a:xfrm>
                    <a:prstGeom prst="rect">
                      <a:avLst/>
                    </a:prstGeom>
                    <a:noFill/>
                  </pic:spPr>
                </pic:pic>
              </a:graphicData>
            </a:graphic>
          </wp:anchor>
        </w:drawing>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Rakesh Gopalan</w:t>
      </w:r>
    </w:p>
    <w:p>
      <w:pPr>
        <w:jc w:val="center"/>
        <w:ind w:right="19"/>
        <w:spacing w:after="0" w:line="232" w:lineRule="auto"/>
        <w:rPr>
          <w:sz w:val="20"/>
          <w:szCs w:val="20"/>
          <w:color w:val="auto"/>
        </w:rPr>
      </w:pPr>
      <w:r>
        <w:rPr>
          <w:rFonts w:ascii="Times New Roman" w:cs="Times New Roman" w:eastAsia="Times New Roman" w:hAnsi="Times New Roman"/>
          <w:sz w:val="11"/>
          <w:szCs w:val="11"/>
          <w:b w:val="1"/>
          <w:bCs w:val="1"/>
          <w:color w:val="auto"/>
        </w:rPr>
        <w:t>David S. Wolpa</w:t>
      </w:r>
    </w:p>
    <w:p>
      <w:pPr>
        <w:jc w:val="center"/>
        <w:ind w:right="19"/>
        <w:spacing w:after="0" w:line="223" w:lineRule="auto"/>
        <w:rPr>
          <w:sz w:val="20"/>
          <w:szCs w:val="20"/>
          <w:color w:val="auto"/>
        </w:rPr>
      </w:pPr>
      <w:r>
        <w:rPr>
          <w:rFonts w:ascii="Times New Roman" w:cs="Times New Roman" w:eastAsia="Times New Roman" w:hAnsi="Times New Roman"/>
          <w:sz w:val="11"/>
          <w:szCs w:val="11"/>
          <w:b w:val="1"/>
          <w:bCs w:val="1"/>
          <w:color w:val="auto"/>
        </w:rPr>
        <w:t>Troutman Pepper Locke LLP</w:t>
      </w:r>
    </w:p>
    <w:p>
      <w:pPr>
        <w:jc w:val="center"/>
        <w:ind w:right="19"/>
        <w:spacing w:after="0" w:line="223" w:lineRule="auto"/>
        <w:rPr>
          <w:sz w:val="20"/>
          <w:szCs w:val="20"/>
          <w:color w:val="auto"/>
        </w:rPr>
      </w:pPr>
      <w:r>
        <w:rPr>
          <w:rFonts w:ascii="Times New Roman" w:cs="Times New Roman" w:eastAsia="Times New Roman" w:hAnsi="Times New Roman"/>
          <w:sz w:val="11"/>
          <w:szCs w:val="11"/>
          <w:b w:val="1"/>
          <w:bCs w:val="1"/>
          <w:color w:val="auto"/>
        </w:rPr>
        <w:t>301 S. College Street, Suite 3400</w:t>
      </w:r>
    </w:p>
    <w:p>
      <w:pPr>
        <w:jc w:val="center"/>
        <w:ind w:right="19"/>
        <w:spacing w:after="0" w:line="224" w:lineRule="auto"/>
        <w:rPr>
          <w:sz w:val="20"/>
          <w:szCs w:val="20"/>
          <w:color w:val="auto"/>
        </w:rPr>
      </w:pPr>
      <w:r>
        <w:rPr>
          <w:rFonts w:ascii="Times New Roman" w:cs="Times New Roman" w:eastAsia="Times New Roman" w:hAnsi="Times New Roman"/>
          <w:sz w:val="11"/>
          <w:szCs w:val="11"/>
          <w:b w:val="1"/>
          <w:bCs w:val="1"/>
          <w:color w:val="auto"/>
        </w:rPr>
        <w:t>Charlotte, NC 28202</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(704) 998-4050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2564765</wp:posOffset>
            </wp:positionH>
            <wp:positionV relativeFrom="paragraph">
              <wp:posOffset>65405</wp:posOffset>
            </wp:positionV>
            <wp:extent cx="5905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550" cy="6985"/>
                    </a:xfrm>
                    <a:prstGeom prst="rect">
                      <a:avLst/>
                    </a:prstGeom>
                    <a:noFill/>
                  </pic:spPr>
                </pic:pic>
              </a:graphicData>
            </a:graphic>
          </wp:anchor>
        </w:drawing>
      </w:r>
    </w:p>
    <w:p>
      <w:pPr>
        <w:spacing w:after="0" w:line="145" w:lineRule="exact"/>
        <w:rPr>
          <w:sz w:val="24"/>
          <w:szCs w:val="24"/>
          <w:color w:val="auto"/>
        </w:rPr>
      </w:pPr>
    </w:p>
    <w:p>
      <w:pPr>
        <w:ind w:left="1060" w:right="1079"/>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As soon as practicable after the effective date of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registration statement.</w:t>
      </w:r>
    </w:p>
    <w:p>
      <w:pPr>
        <w:spacing w:after="0" w:line="1" w:lineRule="exact"/>
        <w:rPr>
          <w:sz w:val="24"/>
          <w:szCs w:val="24"/>
          <w:color w:val="auto"/>
        </w:rPr>
      </w:pPr>
    </w:p>
    <w:p>
      <w:pPr>
        <w:ind w:left="1060" w:right="1079"/>
        <w:spacing w:after="0" w:line="164"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1060" w:right="1139"/>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jc w:val="both"/>
        <w:ind w:left="1060" w:right="1079"/>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1060" w:right="1259"/>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jc w:val="both"/>
        <w:ind w:left="1060" w:right="1079"/>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060" w:type="dxa"/>
        <w:tblCellMar>
          <w:top w:w="0" w:type="dxa"/>
          <w:left w:w="0" w:type="dxa"/>
          <w:bottom w:w="0" w:type="dxa"/>
          <w:right w:w="0" w:type="dxa"/>
        </w:tblCellMar>
      </w:tblPr>
      <w:tr>
        <w:trPr>
          <w:trHeight w:val="140"/>
        </w:trPr>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34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rPr>
              <w:t>☐</w:t>
            </w:r>
          </w:p>
        </w:tc>
        <w:tc>
          <w:tcPr>
            <w:tcW w:w="23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Accelerated filer</w:t>
            </w:r>
          </w:p>
        </w:tc>
        <w:tc>
          <w:tcPr>
            <w:tcW w:w="9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9"/>
        </w:trPr>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34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rPr>
              <w:t>☒</w:t>
            </w:r>
          </w:p>
        </w:tc>
        <w:tc>
          <w:tcPr>
            <w:tcW w:w="23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9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2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Emerging growth company</w:t>
            </w:r>
          </w:p>
        </w:tc>
        <w:tc>
          <w:tcPr>
            <w:tcW w:w="9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2" w:lineRule="exact"/>
        <w:rPr>
          <w:sz w:val="24"/>
          <w:szCs w:val="24"/>
          <w:color w:val="auto"/>
        </w:rPr>
      </w:pPr>
    </w:p>
    <w:p>
      <w:pPr>
        <w:jc w:val="both"/>
        <w:ind w:left="1060" w:right="107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5" w:lineRule="exact"/>
        <w:rPr>
          <w:sz w:val="24"/>
          <w:szCs w:val="24"/>
          <w:color w:val="auto"/>
        </w:rPr>
      </w:pPr>
    </w:p>
    <w:p>
      <w:pPr>
        <w:jc w:val="both"/>
        <w:ind w:left="1060" w:right="1079"/>
        <w:spacing w:after="0" w:line="296"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74930</wp:posOffset>
            </wp:positionH>
            <wp:positionV relativeFrom="paragraph">
              <wp:posOffset>764540</wp:posOffset>
            </wp:positionV>
            <wp:extent cx="557784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7840" cy="3873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125730</wp:posOffset>
            </wp:positionV>
            <wp:extent cx="4364355"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64355" cy="133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98"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The 1,332,632 shares of our common stock, par value $0.0001 per share (the “common stock”), the offer and sale of which are being registered hereunder consists of shares of common stock issuable upon the exercise of certain currently outstanding warrants (collectively, the “Warrants”) to purchase shares of common stock, initially offered and sold under our previous “shelf” registration statement on Form S-3 (No. 333-270459) (the “Prior Registration Statement”), that was declared effective on May 10, 2023, and which will expire on November 6, 2026, pursuant to Rule 415(a)(5) under the Securities Act of 1933, as amended, comprising up to:</w:t>
      </w:r>
    </w:p>
    <w:p>
      <w:pPr>
        <w:spacing w:after="0" w:line="57" w:lineRule="exact"/>
        <w:rPr>
          <w:sz w:val="20"/>
          <w:szCs w:val="20"/>
          <w:color w:val="auto"/>
        </w:rPr>
      </w:pPr>
    </w:p>
    <w:p>
      <w:pPr>
        <w:jc w:val="both"/>
        <w:ind w:left="1760" w:right="1079" w:hanging="345"/>
        <w:spacing w:after="0" w:line="266" w:lineRule="auto"/>
        <w:tabs>
          <w:tab w:leader="none" w:pos="1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661,377 shares of common stock issuable upon exercise of outstanding warrants to purchase shares of common stock, each with an exercise price of $15.120 per share, that were originally issued pursuant to a prospectus dated May 10, 2023 and a related prospectus supplement dated January 3, 2025 (the “2025 Purchase Warrants”);</w:t>
      </w:r>
    </w:p>
    <w:p>
      <w:pPr>
        <w:spacing w:after="0" w:line="55"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164,684 shares of common stock issuable upon exercise of outstanding Series C warrants to purchase shares of common stock, each with an exercise price of $18.234 per share, that were originally issued pursuant to a prospectus dated May 10, 2023 and a related prospectus supplement dated October 30, 2024 (the “Series C Warrants”);</w:t>
      </w:r>
    </w:p>
    <w:p>
      <w:pPr>
        <w:spacing w:after="0" w:line="55"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145,560 shares of common stock issuable upon exercise of outstanding warrants to purchase shares of common stock, each with an exercise price of $61.20 per share, that were originally issued pursuant to a prospectus dated May 10, 2023 and a related prospectus supplement dated April 4, 2024 (the “2024 Purchase Warrants”); and</w:t>
      </w:r>
    </w:p>
    <w:p>
      <w:pPr>
        <w:spacing w:after="0" w:line="55"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361,011 shares of common stock issuable upon exercise of outstanding warrants to purchase shares of common stock, each with an exercise price of $191.13 per share, that were originally issued pursuant to a prospectus dated May 10, 2023 and a related prospectus supplement dated October 11, 2023 (the “2023 Purchase Warrants”).</w:t>
      </w:r>
    </w:p>
    <w:p>
      <w:pPr>
        <w:spacing w:after="0" w:line="141"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2025 Purchase Warrants became exercisable on June 11, 2025 and will expire on the five-year anniversary of such date. The Series C Warrants became exercisable on January 15, 2025 and will expire on the five-year anniversary of such date. The 2024 Purchase Warrants were exercisable immediately upon issuance on April 8, 2024 and will expire on the five-year anniversary of the date of issuance. The 2023 Purchase Warrants were exercisable immediately upon issuance on October 13, 2023 and will expire on the five-year anniversary of the date of issuance.</w:t>
      </w:r>
    </w:p>
    <w:p>
      <w:pPr>
        <w:spacing w:after="0" w:line="144"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We are filing this new registration statement on Form S-1 for the sole purpose of ensuring that an effective registration statement covers the exercise of the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611505</wp:posOffset>
            </wp:positionV>
            <wp:extent cx="557784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2" w:name="page3"/>
    <w:bookmarkEnd w:id="2"/>
    <w:p>
      <w:pPr>
        <w:jc w:val="both"/>
        <w:ind w:left="1060" w:right="1079"/>
        <w:spacing w:after="0" w:line="267" w:lineRule="auto"/>
        <w:rPr>
          <w:sz w:val="20"/>
          <w:szCs w:val="20"/>
          <w:color w:val="auto"/>
        </w:rPr>
      </w:pPr>
      <w:r>
        <w:rPr>
          <w:rFonts w:ascii="Times New Roman" w:cs="Times New Roman" w:eastAsia="Times New Roman" w:hAnsi="Times New Roman"/>
          <w:sz w:val="14"/>
          <w:szCs w:val="14"/>
          <w:b w:val="1"/>
          <w:bCs w:val="1"/>
          <w:color w:val="FF0000"/>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39" w:lineRule="exact"/>
        <w:rPr>
          <w:sz w:val="20"/>
          <w:szCs w:val="20"/>
          <w:color w:val="auto"/>
        </w:rPr>
      </w:pPr>
    </w:p>
    <w:p>
      <w:pPr>
        <w:ind w:left="1060"/>
        <w:spacing w:after="0"/>
        <w:tabs>
          <w:tab w:leader="none" w:pos="3320" w:val="left"/>
        </w:tabs>
        <w:rPr>
          <w:sz w:val="20"/>
          <w:szCs w:val="20"/>
          <w:color w:val="auto"/>
        </w:rPr>
      </w:pPr>
      <w:r>
        <w:rPr>
          <w:rFonts w:ascii="Times New Roman" w:cs="Times New Roman" w:eastAsia="Times New Roman" w:hAnsi="Times New Roman"/>
          <w:sz w:val="14"/>
          <w:szCs w:val="14"/>
          <w:b w:val="1"/>
          <w:bCs w:val="1"/>
          <w:color w:val="FF0000"/>
        </w:rPr>
        <w:t>PRELIMINARY PROSPECTUS</w:t>
      </w:r>
      <w:r>
        <w:rPr>
          <w:sz w:val="20"/>
          <w:szCs w:val="20"/>
          <w:color w:val="auto"/>
        </w:rPr>
        <w:tab/>
      </w:r>
      <w:r>
        <w:rPr>
          <w:rFonts w:ascii="Times New Roman" w:cs="Times New Roman" w:eastAsia="Times New Roman" w:hAnsi="Times New Roman"/>
          <w:sz w:val="14"/>
          <w:szCs w:val="14"/>
          <w:b w:val="1"/>
          <w:bCs w:val="1"/>
          <w:color w:val="FF0000"/>
        </w:rPr>
        <w:t>SUBJECT TO COMPLETION, DATED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1974215</wp:posOffset>
            </wp:positionH>
            <wp:positionV relativeFrom="paragraph">
              <wp:posOffset>125730</wp:posOffset>
            </wp:positionV>
            <wp:extent cx="177165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16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Up to 1,332,632 Shares of Common Stock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78105</wp:posOffset>
            </wp:positionV>
            <wp:extent cx="175768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680" cy="6985"/>
                    </a:xfrm>
                    <a:prstGeom prst="rect">
                      <a:avLst/>
                    </a:prstGeom>
                    <a:noFill/>
                  </pic:spPr>
                </pic:pic>
              </a:graphicData>
            </a:graphic>
          </wp:anchor>
        </w:drawing>
      </w:r>
    </w:p>
    <w:p>
      <w:pPr>
        <w:spacing w:after="0" w:line="302"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This prospectus relates to the issuance of up to an aggregate of 1,332,632 shares of our common stock, par value $0.0001 per share (the “common stock”), that are issuable upon the exercise of certain currently outstanding warrants to purchase shares of common stock outstanding as of the date hereof that were initially offered and sold under our registration statement on Form S-3 (No. 333-270459), which became effective on May 10, 2023 and will expire on November 6, 2026 (collectively, the “Warrants”), comprising up to:</w:t>
      </w:r>
    </w:p>
    <w:p>
      <w:pPr>
        <w:spacing w:after="0" w:line="59" w:lineRule="exact"/>
        <w:rPr>
          <w:sz w:val="20"/>
          <w:szCs w:val="20"/>
          <w:color w:val="auto"/>
        </w:rPr>
      </w:pPr>
    </w:p>
    <w:p>
      <w:pPr>
        <w:jc w:val="both"/>
        <w:ind w:left="1760" w:right="1079" w:hanging="345"/>
        <w:spacing w:after="0" w:line="266"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661,377 shares of common stock issuable upon exercise of outstanding warrants to purchase shares of common stock, each with an exercise price of $15.120 per share, that were originally issued pursuant to a prospectus dated May 10, 2023 and a related prospectus supplement dated January 3, 2025 (the “2025 Purchase Warrants”);</w:t>
      </w:r>
    </w:p>
    <w:p>
      <w:pPr>
        <w:spacing w:after="0" w:line="55"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164,684 shares of common stock issuable upon exercise of outstanding Series C warrants to purchase shares of common stock, each with an exercise price of $18.234 per share, that were originally issued pursuant to a prospectus dated May 10, 2023 and a related prospectus supplement dated October 30, 2024 (the “Series C Warrants”);</w:t>
      </w:r>
    </w:p>
    <w:p>
      <w:pPr>
        <w:spacing w:after="0" w:line="55"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145,560 shares of common stock issuable upon exercise of outstanding warrants to purchase shares of common stock, each with an exercise price of $61.20 per share, that were originally issued pursuant to a prospectus dated May 10, 2023 and a related prospectus supplement dated April 4, 2024 (the “2024 Purchase Warrants”); and</w:t>
      </w:r>
    </w:p>
    <w:p>
      <w:pPr>
        <w:spacing w:after="0" w:line="55"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361,011 shares of common stock issuable upon exercise of outstanding warrants to purchase shares of common stock, each with an exercise price of $191.13 per share, that were originally issued pursuant to a prospectus dated May 10, 2023 and a related prospectus supplement dated October 11, 2023 (the “2023 Purchase Warrants”).</w:t>
      </w:r>
    </w:p>
    <w:p>
      <w:pPr>
        <w:spacing w:after="0" w:line="141"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2025 Purchase Warrants became exercisable on June 11, 2025 and will expire on the five-year anniversary of such date. The Series C Warrants became exercisable on January 15, 2025 and will expire on the five-year anniversary of such date. The 2024 Purchase Warrants were exercisable immediately upon issuance and will expire on the five-year anniversary of the date of issuance. The 2023 Purchase Warrants were exercisable immediately upon issuance and will expire on the five-year anniversary of the date of issuance. See “</w:t>
      </w:r>
      <w:r>
        <w:rPr>
          <w:rFonts w:ascii="Times New Roman" w:cs="Times New Roman" w:eastAsia="Times New Roman" w:hAnsi="Times New Roman"/>
          <w:sz w:val="14"/>
          <w:szCs w:val="14"/>
          <w:i w:val="1"/>
          <w:iCs w:val="1"/>
          <w:color w:val="auto"/>
        </w:rPr>
        <w:t>Description of Securities Being Registered</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We will receive the proceeds from the exercise of the Warrants but not from any sale of the underlying shares of common stock.</w:t>
      </w:r>
    </w:p>
    <w:p>
      <w:pPr>
        <w:spacing w:after="0" w:line="124"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Our common stock is traded on the Nasdaq Capital Market under the symbol “BNGO.” The last reported sale price of our common stock on the Nasdaq Capital Market on October 26, 2026, was $1.16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604520</wp:posOffset>
            </wp:positionV>
            <wp:extent cx="557784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3" w:name="page4"/>
    <w:bookmarkEnd w:id="3"/>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We are a “smaller reporting company” under the federal securities laws and, as such, are subject to reduced public company disclosure standards for this prospectus and future filings. See the section titled “</w:t>
      </w:r>
      <w:r>
        <w:rPr>
          <w:rFonts w:ascii="Times New Roman" w:cs="Times New Roman" w:eastAsia="Times New Roman" w:hAnsi="Times New Roman"/>
          <w:sz w:val="14"/>
          <w:szCs w:val="14"/>
          <w:i w:val="1"/>
          <w:iCs w:val="1"/>
          <w:color w:val="auto"/>
        </w:rPr>
        <w:t>Prospectus Summary—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Implications of Being a Smaller Reporting Company</w:t>
      </w:r>
      <w:r>
        <w:rPr>
          <w:rFonts w:ascii="Times New Roman" w:cs="Times New Roman" w:eastAsia="Times New Roman" w:hAnsi="Times New Roman"/>
          <w:sz w:val="14"/>
          <w:szCs w:val="14"/>
          <w:color w:val="auto"/>
        </w:rPr>
        <w:t>” for additional information.</w:t>
      </w:r>
    </w:p>
    <w:p>
      <w:pPr>
        <w:spacing w:after="0" w:line="135" w:lineRule="exact"/>
        <w:rPr>
          <w:sz w:val="20"/>
          <w:szCs w:val="20"/>
          <w:color w:val="auto"/>
        </w:rPr>
      </w:pPr>
    </w:p>
    <w:p>
      <w:pPr>
        <w:jc w:val="both"/>
        <w:ind w:left="1060" w:right="1079"/>
        <w:spacing w:after="0" w:line="267" w:lineRule="auto"/>
        <w:rPr>
          <w:sz w:val="20"/>
          <w:szCs w:val="20"/>
          <w:color w:val="auto"/>
        </w:rPr>
      </w:pPr>
      <w:r>
        <w:rPr>
          <w:rFonts w:ascii="Times New Roman" w:cs="Times New Roman" w:eastAsia="Times New Roman" w:hAnsi="Times New Roman"/>
          <w:sz w:val="14"/>
          <w:szCs w:val="14"/>
          <w:b w:val="1"/>
          <w:bCs w:val="1"/>
          <w:color w:val="auto"/>
        </w:rPr>
        <w:t>Our business and an investment in our common stock involve significant risks. These risks are described under the caption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beginning on page 4 of this prospectus, as well as those risks described in our most recent Annual Report on Form 10-K and in our other filings with the Securities and Exchange Commission that are incorporated by reference into this prospectus.</w:t>
      </w:r>
    </w:p>
    <w:p>
      <w:pPr>
        <w:spacing w:after="0" w:line="139" w:lineRule="exact"/>
        <w:rPr>
          <w:sz w:val="20"/>
          <w:szCs w:val="20"/>
          <w:color w:val="auto"/>
        </w:rPr>
      </w:pPr>
    </w:p>
    <w:p>
      <w:pPr>
        <w:jc w:val="both"/>
        <w:ind w:left="1060" w:right="1079"/>
        <w:spacing w:after="0" w:line="27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648970</wp:posOffset>
            </wp:positionV>
            <wp:extent cx="557784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4" w:name="page5"/>
    <w:bookmarkEnd w:id="4"/>
    <w:tbl>
      <w:tblPr>
        <w:tblLayout w:type="fixed"/>
        <w:tblInd w:w="106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00" w:type="dxa"/>
            <w:vAlign w:val="bottom"/>
          </w:tcPr>
          <w:p>
            <w:pPr>
              <w:spacing w:after="0"/>
              <w:rPr>
                <w:sz w:val="16"/>
                <w:szCs w:val="16"/>
                <w:color w:val="auto"/>
              </w:rPr>
            </w:pPr>
          </w:p>
        </w:tc>
      </w:tr>
      <w:tr>
        <w:trPr>
          <w:trHeight w:val="342"/>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2"/>
        </w:trPr>
        <w:tc>
          <w:tcPr>
            <w:tcW w:w="1780" w:type="dxa"/>
            <w:vAlign w:val="bottom"/>
            <w:tcBorders>
              <w:bottom w:val="single" w:sz="8" w:color="0000FF"/>
            </w:tcBorders>
            <w:gridSpan w:val="8"/>
            <w:shd w:val="clear" w:color="auto" w:fill="CFF0FC"/>
          </w:tcPr>
          <w:p>
            <w:pPr>
              <w:spacing w:after="0" w:line="130" w:lineRule="exact"/>
              <w:rPr>
                <w:sz w:val="20"/>
                <w:szCs w:val="20"/>
                <w:color w:val="auto"/>
              </w:rPr>
            </w:pPr>
            <w:r>
              <w:rPr>
                <w:rFonts w:ascii="Times New Roman" w:cs="Times New Roman" w:eastAsia="Times New Roman" w:hAnsi="Times New Roman"/>
                <w:sz w:val="14"/>
                <w:szCs w:val="14"/>
                <w:color w:val="0000FF"/>
              </w:rPr>
              <w:t>ABOUT THIS PROSPECTUS</w:t>
            </w:r>
          </w:p>
        </w:tc>
        <w:tc>
          <w:tcPr>
            <w:tcW w:w="4500" w:type="dxa"/>
            <w:vAlign w:val="bottom"/>
            <w:tcBorders>
              <w:bottom w:val="single" w:sz="8" w:color="CFF0FC"/>
            </w:tcBorders>
            <w:gridSpan w:val="6"/>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center"/>
              <w:spacing w:after="0" w:line="130" w:lineRule="exact"/>
              <w:rPr>
                <w:sz w:val="20"/>
                <w:szCs w:val="20"/>
                <w:color w:val="auto"/>
              </w:rPr>
            </w:pPr>
            <w:r>
              <w:rPr>
                <w:rFonts w:ascii="Times New Roman" w:cs="Times New Roman" w:eastAsia="Times New Roman" w:hAnsi="Times New Roman"/>
                <w:sz w:val="14"/>
                <w:szCs w:val="14"/>
                <w:color w:val="auto"/>
              </w:rPr>
              <w:t>ii</w:t>
            </w:r>
          </w:p>
        </w:tc>
      </w:tr>
      <w:tr>
        <w:trPr>
          <w:trHeight w:val="139"/>
        </w:trPr>
        <w:tc>
          <w:tcPr>
            <w:tcW w:w="6280" w:type="dxa"/>
            <w:vAlign w:val="bottom"/>
            <w:gridSpan w:val="14"/>
          </w:tcPr>
          <w:p>
            <w:pPr>
              <w:spacing w:after="0" w:line="139" w:lineRule="exact"/>
              <w:rPr>
                <w:sz w:val="20"/>
                <w:szCs w:val="20"/>
                <w:color w:val="auto"/>
              </w:rPr>
            </w:pPr>
            <w:r>
              <w:rPr>
                <w:rFonts w:ascii="Times New Roman" w:cs="Times New Roman" w:eastAsia="Times New Roman" w:hAnsi="Times New Roman"/>
                <w:sz w:val="14"/>
                <w:szCs w:val="14"/>
                <w:color w:val="0000FF"/>
              </w:rPr>
              <w:t>CAUTIONARY NOTE CONCERNING FORWARD-LOOKING STATEMENTS</w:t>
            </w: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iv</w:t>
            </w:r>
          </w:p>
        </w:tc>
      </w:tr>
      <w:tr>
        <w:trPr>
          <w:trHeight w:val="163"/>
        </w:trPr>
        <w:tc>
          <w:tcPr>
            <w:tcW w:w="4740" w:type="dxa"/>
            <w:vAlign w:val="bottom"/>
            <w:tcBorders>
              <w:top w:val="single" w:sz="8" w:color="0000FF"/>
            </w:tcBorders>
            <w:gridSpan w:val="13"/>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0000FF"/>
              </w:rPr>
              <w:t>PROSPECTUS SUMMARY</w:t>
            </w:r>
          </w:p>
        </w:tc>
        <w:tc>
          <w:tcPr>
            <w:tcW w:w="154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rPr>
              <w:t>1</w:t>
            </w:r>
          </w:p>
        </w:tc>
      </w:tr>
      <w:tr>
        <w:trPr>
          <w:trHeight w:val="139"/>
        </w:trPr>
        <w:tc>
          <w:tcPr>
            <w:tcW w:w="1020" w:type="dxa"/>
            <w:vAlign w:val="bottom"/>
            <w:tcBorders>
              <w:top w:val="single" w:sz="8" w:color="0000FF"/>
              <w:bottom w:val="single" w:sz="8" w:color="0000FF"/>
            </w:tcBorders>
            <w:gridSpan w:val="2"/>
          </w:tcPr>
          <w:p>
            <w:pPr>
              <w:spacing w:after="0" w:line="139" w:lineRule="exact"/>
              <w:rPr>
                <w:sz w:val="20"/>
                <w:szCs w:val="20"/>
                <w:color w:val="auto"/>
              </w:rPr>
            </w:pPr>
            <w:r>
              <w:rPr>
                <w:rFonts w:ascii="Times New Roman" w:cs="Times New Roman" w:eastAsia="Times New Roman" w:hAnsi="Times New Roman"/>
                <w:sz w:val="14"/>
                <w:szCs w:val="14"/>
                <w:color w:val="0000FF"/>
                <w:w w:val="98"/>
              </w:rPr>
              <w:t>THE OFFERING</w:t>
            </w:r>
          </w:p>
        </w:tc>
        <w:tc>
          <w:tcPr>
            <w:tcW w:w="640" w:type="dxa"/>
            <w:vAlign w:val="bottom"/>
            <w:tcBorders>
              <w:top w:val="single" w:sz="8" w:color="0000FF"/>
            </w:tcBorders>
            <w:gridSpan w:val="5"/>
          </w:tcPr>
          <w:p>
            <w:pPr>
              <w:spacing w:after="0"/>
              <w:rPr>
                <w:sz w:val="12"/>
                <w:szCs w:val="12"/>
                <w:color w:val="auto"/>
              </w:rPr>
            </w:pPr>
          </w:p>
        </w:tc>
        <w:tc>
          <w:tcPr>
            <w:tcW w:w="4620" w:type="dxa"/>
            <w:vAlign w:val="bottom"/>
            <w:tcBorders>
              <w:top w:val="single" w:sz="8" w:color="CFF0FC"/>
            </w:tcBorders>
            <w:gridSpan w:val="7"/>
          </w:tcPr>
          <w:p>
            <w:pPr>
              <w:spacing w:after="0"/>
              <w:rPr>
                <w:sz w:val="12"/>
                <w:szCs w:val="12"/>
                <w:color w:val="auto"/>
              </w:rPr>
            </w:pPr>
          </w:p>
        </w:tc>
        <w:tc>
          <w:tcPr>
            <w:tcW w:w="600" w:type="dxa"/>
            <w:vAlign w:val="bottom"/>
            <w:tcBorders>
              <w:top w:val="single" w:sz="8" w:color="CFF0FC"/>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w:t>
            </w:r>
          </w:p>
        </w:tc>
      </w:tr>
      <w:tr>
        <w:trPr>
          <w:trHeight w:val="151"/>
        </w:trPr>
        <w:tc>
          <w:tcPr>
            <w:tcW w:w="6280" w:type="dxa"/>
            <w:vAlign w:val="bottom"/>
            <w:gridSpan w:val="14"/>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0000FF"/>
              </w:rPr>
              <w:t>RISK FACTORS</w:t>
            </w:r>
          </w:p>
        </w:tc>
        <w:tc>
          <w:tcPr>
            <w:tcW w:w="600" w:type="dxa"/>
            <w:vAlign w:val="bottom"/>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rPr>
              <w:t>4</w:t>
            </w:r>
          </w:p>
        </w:tc>
      </w:tr>
      <w:tr>
        <w:trPr>
          <w:trHeight w:val="32"/>
        </w:trPr>
        <w:tc>
          <w:tcPr>
            <w:tcW w:w="620" w:type="dxa"/>
            <w:vAlign w:val="bottom"/>
            <w:shd w:val="clear" w:color="auto" w:fill="0000FF"/>
          </w:tcPr>
          <w:p>
            <w:pPr>
              <w:spacing w:after="0"/>
              <w:rPr>
                <w:sz w:val="2"/>
                <w:szCs w:val="2"/>
                <w:color w:val="auto"/>
              </w:rPr>
            </w:pPr>
          </w:p>
        </w:tc>
        <w:tc>
          <w:tcPr>
            <w:tcW w:w="400" w:type="dxa"/>
            <w:vAlign w:val="bottom"/>
            <w:tcBorders>
              <w:right w:val="single" w:sz="8" w:color="CFF0FC"/>
            </w:tcBorders>
            <w:shd w:val="clear" w:color="auto" w:fill="0000FF"/>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r>
      <w:tr>
        <w:trPr>
          <w:trHeight w:val="139"/>
        </w:trPr>
        <w:tc>
          <w:tcPr>
            <w:tcW w:w="1280" w:type="dxa"/>
            <w:vAlign w:val="bottom"/>
            <w:tcBorders>
              <w:bottom w:val="single" w:sz="8" w:color="0000FF"/>
            </w:tcBorders>
            <w:gridSpan w:val="5"/>
          </w:tcPr>
          <w:p>
            <w:pPr>
              <w:spacing w:after="0" w:line="139" w:lineRule="exact"/>
              <w:rPr>
                <w:sz w:val="20"/>
                <w:szCs w:val="20"/>
                <w:color w:val="auto"/>
              </w:rPr>
            </w:pPr>
            <w:r>
              <w:rPr>
                <w:rFonts w:ascii="Times New Roman" w:cs="Times New Roman" w:eastAsia="Times New Roman" w:hAnsi="Times New Roman"/>
                <w:sz w:val="14"/>
                <w:szCs w:val="14"/>
                <w:color w:val="0000FF"/>
              </w:rPr>
              <w:t>USE OF PROCEEDS</w:t>
            </w:r>
          </w:p>
        </w:tc>
        <w:tc>
          <w:tcPr>
            <w:tcW w:w="5000" w:type="dxa"/>
            <w:vAlign w:val="bottom"/>
            <w:gridSpan w:val="9"/>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7</w:t>
            </w:r>
          </w:p>
        </w:tc>
      </w:tr>
      <w:tr>
        <w:trPr>
          <w:trHeight w:val="163"/>
        </w:trPr>
        <w:tc>
          <w:tcPr>
            <w:tcW w:w="2580" w:type="dxa"/>
            <w:vAlign w:val="bottom"/>
            <w:tcBorders>
              <w:bottom w:val="single" w:sz="8" w:color="0000FF"/>
            </w:tcBorders>
            <w:gridSpan w:val="9"/>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0000FF"/>
              </w:rPr>
              <w:t>DETERMINATION OF OFFERING PRICE</w:t>
            </w:r>
          </w:p>
        </w:tc>
        <w:tc>
          <w:tcPr>
            <w:tcW w:w="3700" w:type="dxa"/>
            <w:vAlign w:val="bottom"/>
            <w:tcBorders>
              <w:bottom w:val="single" w:sz="8" w:color="CFF0FC"/>
            </w:tcBorders>
            <w:gridSpan w:val="5"/>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rPr>
              <w:t>8</w:t>
            </w:r>
          </w:p>
        </w:tc>
      </w:tr>
      <w:tr>
        <w:trPr>
          <w:trHeight w:val="139"/>
        </w:trPr>
        <w:tc>
          <w:tcPr>
            <w:tcW w:w="1260" w:type="dxa"/>
            <w:vAlign w:val="bottom"/>
            <w:tcBorders>
              <w:bottom w:val="single" w:sz="8" w:color="0000FF"/>
            </w:tcBorders>
            <w:gridSpan w:val="4"/>
          </w:tcPr>
          <w:p>
            <w:pPr>
              <w:spacing w:after="0" w:line="139" w:lineRule="exact"/>
              <w:rPr>
                <w:sz w:val="20"/>
                <w:szCs w:val="20"/>
                <w:color w:val="auto"/>
              </w:rPr>
            </w:pPr>
            <w:r>
              <w:rPr>
                <w:rFonts w:ascii="Times New Roman" w:cs="Times New Roman" w:eastAsia="Times New Roman" w:hAnsi="Times New Roman"/>
                <w:sz w:val="14"/>
                <w:szCs w:val="14"/>
                <w:color w:val="0000FF"/>
              </w:rPr>
              <w:t>DIVIDEND POLICY</w:t>
            </w:r>
          </w:p>
        </w:tc>
        <w:tc>
          <w:tcPr>
            <w:tcW w:w="5020" w:type="dxa"/>
            <w:vAlign w:val="bottom"/>
            <w:gridSpan w:val="10"/>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9</w:t>
            </w:r>
          </w:p>
        </w:tc>
      </w:tr>
      <w:tr>
        <w:trPr>
          <w:trHeight w:val="151"/>
        </w:trPr>
        <w:tc>
          <w:tcPr>
            <w:tcW w:w="3380" w:type="dxa"/>
            <w:vAlign w:val="bottom"/>
            <w:tcBorders>
              <w:bottom w:val="single" w:sz="8" w:color="0000FF"/>
            </w:tcBorders>
            <w:gridSpan w:val="10"/>
          </w:tcPr>
          <w:p>
            <w:pPr>
              <w:spacing w:after="0" w:line="151" w:lineRule="exact"/>
              <w:rPr>
                <w:sz w:val="20"/>
                <w:szCs w:val="20"/>
                <w:color w:val="auto"/>
              </w:rPr>
            </w:pPr>
            <w:r>
              <w:rPr>
                <w:rFonts w:ascii="Times New Roman" w:cs="Times New Roman" w:eastAsia="Times New Roman" w:hAnsi="Times New Roman"/>
                <w:sz w:val="14"/>
                <w:szCs w:val="14"/>
                <w:color w:val="0000FF"/>
              </w:rPr>
              <w:t>DESCRIPTION OF SECURITIES BEING REGISTERED</w:t>
            </w:r>
          </w:p>
        </w:tc>
        <w:tc>
          <w:tcPr>
            <w:tcW w:w="2900" w:type="dxa"/>
            <w:vAlign w:val="bottom"/>
            <w:gridSpan w:val="4"/>
          </w:tcPr>
          <w:p>
            <w:pPr>
              <w:spacing w:after="0"/>
              <w:rPr>
                <w:sz w:val="13"/>
                <w:szCs w:val="13"/>
                <w:color w:val="auto"/>
              </w:rPr>
            </w:pPr>
          </w:p>
        </w:tc>
        <w:tc>
          <w:tcPr>
            <w:tcW w:w="6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10</w:t>
            </w:r>
          </w:p>
        </w:tc>
      </w:tr>
      <w:tr>
        <w:trPr>
          <w:trHeight w:val="163"/>
        </w:trPr>
        <w:tc>
          <w:tcPr>
            <w:tcW w:w="6280" w:type="dxa"/>
            <w:vAlign w:val="bottom"/>
            <w:gridSpan w:val="14"/>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0000FF"/>
              </w:rPr>
              <w:t>PLAN OF DISTRIBUTION</w:t>
            </w:r>
          </w:p>
        </w:tc>
        <w:tc>
          <w:tcPr>
            <w:tcW w:w="600" w:type="dxa"/>
            <w:vAlign w:val="bottom"/>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15</w:t>
            </w:r>
          </w:p>
        </w:tc>
      </w:tr>
      <w:tr>
        <w:trPr>
          <w:trHeight w:val="139"/>
        </w:trPr>
        <w:tc>
          <w:tcPr>
            <w:tcW w:w="1180" w:type="dxa"/>
            <w:vAlign w:val="bottom"/>
            <w:tcBorders>
              <w:top w:val="single" w:sz="8" w:color="0000FF"/>
              <w:bottom w:val="single" w:sz="8" w:color="0000FF"/>
            </w:tcBorders>
            <w:gridSpan w:val="3"/>
          </w:tcPr>
          <w:p>
            <w:pPr>
              <w:spacing w:after="0" w:line="139" w:lineRule="exact"/>
              <w:rPr>
                <w:sz w:val="20"/>
                <w:szCs w:val="20"/>
                <w:color w:val="auto"/>
              </w:rPr>
            </w:pPr>
            <w:r>
              <w:rPr>
                <w:rFonts w:ascii="Times New Roman" w:cs="Times New Roman" w:eastAsia="Times New Roman" w:hAnsi="Times New Roman"/>
                <w:sz w:val="14"/>
                <w:szCs w:val="14"/>
                <w:color w:val="0000FF"/>
              </w:rPr>
              <w:t>LEGAL MATTERS</w:t>
            </w:r>
          </w:p>
        </w:tc>
        <w:tc>
          <w:tcPr>
            <w:tcW w:w="440" w:type="dxa"/>
            <w:vAlign w:val="bottom"/>
            <w:tcBorders>
              <w:top w:val="single" w:sz="8" w:color="0000FF"/>
            </w:tcBorders>
            <w:gridSpan w:val="3"/>
          </w:tcPr>
          <w:p>
            <w:pPr>
              <w:spacing w:after="0"/>
              <w:rPr>
                <w:sz w:val="12"/>
                <w:szCs w:val="12"/>
                <w:color w:val="auto"/>
              </w:rPr>
            </w:pPr>
          </w:p>
        </w:tc>
        <w:tc>
          <w:tcPr>
            <w:tcW w:w="4660" w:type="dxa"/>
            <w:vAlign w:val="bottom"/>
            <w:tcBorders>
              <w:top w:val="single" w:sz="8" w:color="CFF0FC"/>
            </w:tcBorders>
            <w:gridSpan w:val="8"/>
          </w:tcPr>
          <w:p>
            <w:pPr>
              <w:spacing w:after="0"/>
              <w:rPr>
                <w:sz w:val="12"/>
                <w:szCs w:val="12"/>
                <w:color w:val="auto"/>
              </w:rPr>
            </w:pPr>
          </w:p>
        </w:tc>
        <w:tc>
          <w:tcPr>
            <w:tcW w:w="600" w:type="dxa"/>
            <w:vAlign w:val="bottom"/>
            <w:tcBorders>
              <w:top w:val="single" w:sz="8" w:color="CFF0FC"/>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16</w:t>
            </w:r>
          </w:p>
        </w:tc>
      </w:tr>
      <w:tr>
        <w:trPr>
          <w:trHeight w:val="151"/>
        </w:trPr>
        <w:tc>
          <w:tcPr>
            <w:tcW w:w="6280" w:type="dxa"/>
            <w:vAlign w:val="bottom"/>
            <w:gridSpan w:val="14"/>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0000FF"/>
              </w:rPr>
              <w:t>EXPERTS</w:t>
            </w:r>
          </w:p>
        </w:tc>
        <w:tc>
          <w:tcPr>
            <w:tcW w:w="600" w:type="dxa"/>
            <w:vAlign w:val="bottom"/>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16</w:t>
            </w:r>
          </w:p>
        </w:tc>
      </w:tr>
      <w:tr>
        <w:trPr>
          <w:trHeight w:val="32"/>
        </w:trPr>
        <w:tc>
          <w:tcPr>
            <w:tcW w:w="620" w:type="dxa"/>
            <w:vAlign w:val="bottom"/>
            <w:shd w:val="clear" w:color="auto" w:fill="0000FF"/>
          </w:tcPr>
          <w:p>
            <w:pPr>
              <w:spacing w:after="0"/>
              <w:rPr>
                <w:sz w:val="2"/>
                <w:szCs w:val="2"/>
                <w:color w:val="auto"/>
              </w:rPr>
            </w:pPr>
          </w:p>
        </w:tc>
        <w:tc>
          <w:tcPr>
            <w:tcW w:w="400" w:type="dxa"/>
            <w:vAlign w:val="bottom"/>
            <w:tcBorders>
              <w:right w:val="single" w:sz="8" w:color="CFF0FC"/>
            </w:tcBorders>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r>
      <w:tr>
        <w:trPr>
          <w:trHeight w:val="139"/>
        </w:trPr>
        <w:tc>
          <w:tcPr>
            <w:tcW w:w="3520" w:type="dxa"/>
            <w:vAlign w:val="bottom"/>
            <w:tcBorders>
              <w:bottom w:val="single" w:sz="8" w:color="0000FF"/>
            </w:tcBorders>
            <w:gridSpan w:val="11"/>
          </w:tcPr>
          <w:p>
            <w:pPr>
              <w:spacing w:after="0" w:line="139" w:lineRule="exact"/>
              <w:rPr>
                <w:sz w:val="20"/>
                <w:szCs w:val="20"/>
                <w:color w:val="auto"/>
              </w:rPr>
            </w:pPr>
            <w:r>
              <w:rPr>
                <w:rFonts w:ascii="Times New Roman" w:cs="Times New Roman" w:eastAsia="Times New Roman" w:hAnsi="Times New Roman"/>
                <w:sz w:val="14"/>
                <w:szCs w:val="14"/>
                <w:color w:val="0000FF"/>
              </w:rPr>
              <w:t>WHERE YOU CAN FIND ADDITIONAL INFORMATION</w:t>
            </w:r>
          </w:p>
        </w:tc>
        <w:tc>
          <w:tcPr>
            <w:tcW w:w="2760" w:type="dxa"/>
            <w:vAlign w:val="bottom"/>
            <w:gridSpan w:val="3"/>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16</w:t>
            </w:r>
          </w:p>
        </w:tc>
      </w:tr>
      <w:tr>
        <w:trPr>
          <w:trHeight w:val="163"/>
        </w:trPr>
        <w:tc>
          <w:tcPr>
            <w:tcW w:w="4160" w:type="dxa"/>
            <w:vAlign w:val="bottom"/>
            <w:tcBorders>
              <w:bottom w:val="single" w:sz="8" w:color="0000FF"/>
            </w:tcBorders>
            <w:gridSpan w:val="12"/>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0000FF"/>
              </w:rPr>
              <w:t>INCORPORATION OF CERTAIN INFORMATION BY REFERENCE</w:t>
            </w:r>
          </w:p>
        </w:tc>
        <w:tc>
          <w:tcPr>
            <w:tcW w:w="2120" w:type="dxa"/>
            <w:vAlign w:val="bottom"/>
            <w:tcBorders>
              <w:bottom w:val="single" w:sz="8" w:color="CFF0FC"/>
            </w:tcBorders>
            <w:gridSpan w:val="2"/>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17</w:t>
            </w:r>
          </w:p>
        </w:tc>
      </w:tr>
    </w:tbl>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3"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We incorporate by reference important information into this prospectus. You may obtain the information incorporated by reference without charge by following the instructions under “</w:t>
      </w:r>
      <w:r>
        <w:rPr>
          <w:rFonts w:ascii="Times New Roman" w:cs="Times New Roman" w:eastAsia="Times New Roman" w:hAnsi="Times New Roman"/>
          <w:sz w:val="14"/>
          <w:szCs w:val="14"/>
          <w:i w:val="1"/>
          <w:iCs w:val="1"/>
          <w:color w:val="auto"/>
        </w:rPr>
        <w:t>Where You Can Find Additional Information.</w:t>
      </w:r>
      <w:r>
        <w:rPr>
          <w:rFonts w:ascii="Times New Roman" w:cs="Times New Roman" w:eastAsia="Times New Roman" w:hAnsi="Times New Roman"/>
          <w:sz w:val="14"/>
          <w:szCs w:val="14"/>
          <w:color w:val="auto"/>
        </w:rPr>
        <w:t>” You should carefully read this prospectus as well as additional information described under “</w:t>
      </w:r>
      <w:r>
        <w:rPr>
          <w:rFonts w:ascii="Times New Roman" w:cs="Times New Roman" w:eastAsia="Times New Roman" w:hAnsi="Times New Roman"/>
          <w:sz w:val="14"/>
          <w:szCs w:val="14"/>
          <w:i w:val="1"/>
          <w:iCs w:val="1"/>
          <w:color w:val="auto"/>
        </w:rPr>
        <w:t>Incorporation of Certain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 by Reference</w:t>
      </w:r>
      <w:r>
        <w:rPr>
          <w:rFonts w:ascii="Times New Roman" w:cs="Times New Roman" w:eastAsia="Times New Roman" w:hAnsi="Times New Roman"/>
          <w:sz w:val="14"/>
          <w:szCs w:val="14"/>
          <w:color w:val="auto"/>
        </w:rPr>
        <w:t>,” before deciding to invest in our securities. This prospectus relates to the offering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issuable upon the exercise of the 2025 Purchase Warrants, Series C Warrants, 2024 Purchase Warrants and 2023 Purchase Warrants currently outstanding as of the date of this prospectus.</w:t>
      </w:r>
    </w:p>
    <w:p>
      <w:pPr>
        <w:spacing w:after="0" w:line="143" w:lineRule="exact"/>
        <w:rPr>
          <w:sz w:val="20"/>
          <w:szCs w:val="20"/>
          <w:color w:val="auto"/>
        </w:rPr>
      </w:pPr>
    </w:p>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t>We have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47" w:lineRule="exact"/>
        <w:rPr>
          <w:sz w:val="20"/>
          <w:szCs w:val="20"/>
          <w:color w:val="auto"/>
        </w:rPr>
      </w:pPr>
    </w:p>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t>The information incorporated by reference or provided in this prospectus contains statistical data and estimates, including those relating to market size and competitive position of the markets in which we participate, that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While we believe our internal company research is reliable and the definitions of our market and industry are appropriate, neither this research nor these definitions have been verified by any independent source.</w:t>
      </w:r>
    </w:p>
    <w:p>
      <w:pPr>
        <w:spacing w:after="0" w:line="147"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3"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cs="Times New Roman" w:eastAsia="Times New Roman" w:hAnsi="Times New Roman"/>
          <w:sz w:val="14"/>
          <w:szCs w:val="14"/>
          <w:i w:val="1"/>
          <w:iCs w:val="1"/>
          <w:color w:val="auto"/>
        </w:rPr>
        <w:t>Where You Can Find Additional Information</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t>We are offering to sell, and seeking offers to buy, shares of our common stock only in jurisdictions where offers and sales are permitted. The distribution of this prospectus and the offering of the shares of our common stock in certain jurisdictions may be restricted by law. Persons outside the United States who come into possession of this prospectus must inform themselves about, and observe any restrictions relating to, the offering of the shares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6" w:name="page7"/>
    <w:bookmarkEnd w:id="6"/>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Unless otherwise mentioned or unless the context indicates otherwise, all references in this prospectus to “Bionano,” “the Company,” “we,” “us,” “our” and similar references refer to Bionano Genomics, Inc. and its subsidiaries or, as the context may require, Bionano Genomics, Inc. only. “Bionano Laboratories,” “BioDiscovery” and “Purigen” refer to our wholly owned subsidiaries, Lineagen, Inc. (doing business as Bionano Laboratories), BioDiscovery, LLC and Purigen Biosystems, Inc., respectively.</w:t>
      </w:r>
    </w:p>
    <w:p>
      <w:pPr>
        <w:spacing w:after="0" w:line="144" w:lineRule="exact"/>
        <w:rPr>
          <w:sz w:val="20"/>
          <w:szCs w:val="20"/>
          <w:color w:val="auto"/>
        </w:rPr>
      </w:pPr>
    </w:p>
    <w:p>
      <w:pPr>
        <w:jc w:val="both"/>
        <w:ind w:left="1060" w:right="1079"/>
        <w:spacing w:after="0" w:line="259" w:lineRule="auto"/>
        <w:rPr>
          <w:sz w:val="20"/>
          <w:szCs w:val="20"/>
          <w:color w:val="auto"/>
        </w:rPr>
      </w:pPr>
      <w:r>
        <w:rPr>
          <w:rFonts w:ascii="Times New Roman" w:cs="Times New Roman" w:eastAsia="Times New Roman" w:hAnsi="Times New Roman"/>
          <w:sz w:val="14"/>
          <w:szCs w:val="14"/>
          <w:color w:val="auto"/>
        </w:rPr>
        <w:t>Our design logo, “Bionano,” and our other registered and common law trade names, trademarks and service marks are the property of Bionano Genomics, Inc. The trademarks, trade names and service marks appearing in this prospectus and the information incorporated by reference into this prospectus are the property of their respective owners. Solely for convenience, trademarks and trade names referred to in this prospectus and the information incorporated by reference into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or products.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CAUTIONARY NOTE CONCERNING FORWARD-LOOKING STATEMENTS</w:t>
      </w:r>
    </w:p>
    <w:p>
      <w:pPr>
        <w:spacing w:after="0" w:line="183" w:lineRule="exact"/>
        <w:rPr>
          <w:sz w:val="20"/>
          <w:szCs w:val="20"/>
          <w:color w:val="auto"/>
        </w:rPr>
      </w:pPr>
    </w:p>
    <w:p>
      <w:pPr>
        <w:jc w:val="both"/>
        <w:ind w:left="1060" w:right="1079"/>
        <w:spacing w:after="0" w:line="258" w:lineRule="auto"/>
        <w:rPr>
          <w:sz w:val="20"/>
          <w:szCs w:val="20"/>
          <w:color w:val="auto"/>
        </w:rPr>
      </w:pPr>
      <w:r>
        <w:rPr>
          <w:rFonts w:ascii="Times New Roman" w:cs="Times New Roman" w:eastAsia="Times New Roman" w:hAnsi="Times New Roman"/>
          <w:sz w:val="14"/>
          <w:szCs w:val="14"/>
          <w:color w:val="auto"/>
        </w:rPr>
        <w:t>This prospectus, including the documents incorporated by reference herein and therein, and any free writing prospectus that we have authorized for use in connection with this offering, contain “forward-looking statements” within the meaning of Section 27A of the Securities Act of 1933, as amended, or the Securities Act, and Section 21E of the Securities Exchange Act of 1934, as amended, or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“will,” “potential” and other similar words and expressions of the future.</w:t>
      </w:r>
    </w:p>
    <w:p>
      <w:pPr>
        <w:spacing w:after="0" w:line="147"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Any statements in this prospectus, or incorporated by reference herein, and any free writing prospectus, about our expectations, beliefs, plans, objectives, assumptions or future events or performance are not historical facts and are forward-looking statements. There are a number of important factors that could cause the actual results to differ materially from those expressed in any forward-looking statement made by us, including known and unknown risks, uncertainties and assumptions. These factors are described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this prospectus, and include, but are not limited to:</w:t>
      </w:r>
    </w:p>
    <w:p>
      <w:pPr>
        <w:spacing w:after="0" w:line="57" w:lineRule="exact"/>
        <w:rPr>
          <w:sz w:val="20"/>
          <w:szCs w:val="20"/>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improve our margins, extend our cash runway and reach a potential pathway to profitability;</w:t>
      </w:r>
    </w:p>
    <w:p>
      <w:pPr>
        <w:spacing w:after="0" w:line="95"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 within 12 months of the filing of our Quarterly Report on Form 10-Q for the quarter ended June 30, 2026, which requires us to manage costs and obtain significant additional financing to fund our strategic plans and commercialization efforts;</w:t>
      </w:r>
    </w:p>
    <w:p>
      <w:pPr>
        <w:spacing w:after="0" w:line="51"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on our strategy and achieve our objectives;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and utility of our cost savings initiative and our recent financing;</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drive OGM adoption by potential customers for routine use in genomic analysis;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or lack thereof, of the Category I CPT codes to accelerate or increase the adoption of OGM;</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research, presentations and publications involving OGM and its utility compared to traditional cytogenetics and our technologies;</w:t>
      </w:r>
    </w:p>
    <w:p>
      <w:pPr>
        <w:spacing w:after="0" w:line="38" w:lineRule="exact"/>
        <w:rPr>
          <w:rFonts w:ascii="Times New Roman" w:cs="Times New Roman" w:eastAsia="Times New Roman" w:hAnsi="Times New Roman"/>
          <w:sz w:val="14"/>
          <w:szCs w:val="14"/>
          <w:color w:val="auto"/>
        </w:rPr>
      </w:pPr>
    </w:p>
    <w:p>
      <w:pPr>
        <w:ind w:left="1760" w:right="1079" w:hanging="345"/>
        <w:spacing w:after="0" w:line="265"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Stratys system and VIA software to increase throughput and simplify analysis of OGM data;</w:t>
      </w:r>
    </w:p>
    <w:p>
      <w:pPr>
        <w:spacing w:after="0" w:line="249"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drive adoption of OGM and our technology solutions;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further deploy new products and applications for our technology platforms;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and beliefs regarding future growth of the business and the markets in which we operate;</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consummate any strategic alternatives including the risk that if we fail to obtain additional financing we may seek relief under applicable insolvency laws;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products, and our ability to serve those markets;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the growth of our business and integrate acquired businesses;</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our commercial organization to address effectively existing and new markets that we intend to target;</w:t>
      </w:r>
    </w:p>
    <w:p>
      <w:pPr>
        <w:spacing w:after="0" w:line="38"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from future regulatory, judicial, and legislative changes or developments in the U.S. and foreign countries;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in a competitive industry;</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8" w:name="page9"/>
    <w:bookmarkEnd w:id="8"/>
    <w:p>
      <w:pPr>
        <w:ind w:left="1760" w:right="1079" w:hanging="345"/>
        <w:spacing w:after="0" w:line="290"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competitive technologies or improvements in existing technologies and the success of any such technologies;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our third-party contract sales organizations, suppliers and manufacturers;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future revenues, reimbursement rates, capital requirements and needs for additional financing;</w:t>
      </w:r>
    </w:p>
    <w:p>
      <w:pPr>
        <w:spacing w:after="0" w:line="38" w:lineRule="exact"/>
        <w:rPr>
          <w:rFonts w:ascii="Times New Roman" w:cs="Times New Roman" w:eastAsia="Times New Roman" w:hAnsi="Times New Roman"/>
          <w:sz w:val="14"/>
          <w:szCs w:val="14"/>
          <w:color w:val="auto"/>
        </w:rPr>
      </w:pPr>
    </w:p>
    <w:p>
      <w:pPr>
        <w:jc w:val="both"/>
        <w:ind w:left="1760" w:right="1079" w:hanging="345"/>
        <w:spacing w:after="0" w:line="262"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adverse geopolitical and macroeconomic developments, such as the ongoing international conflicts, and related sanctions, regional or global pandemics, inflation, tariffs, increased cost of goods, supply chain issues, and global financial market conditions on our business and operations, as well as the business or operations of our suppliers, customers, manufacturers, research partners and other third parties with whom we conduct business and our expectations with respect to the duration of such impacts and the resulting effects on our business;</w:t>
      </w:r>
    </w:p>
    <w:p>
      <w:pPr>
        <w:spacing w:after="0" w:line="57"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anticipated benefits and synergies of our prior and any future acquisitions or other strategic transactions;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collaborators and strategic partnerships; and</w:t>
      </w:r>
    </w:p>
    <w:p>
      <w:pPr>
        <w:spacing w:after="0" w:line="93" w:lineRule="exact"/>
        <w:rPr>
          <w:rFonts w:ascii="Times New Roman" w:cs="Times New Roman" w:eastAsia="Times New Roman" w:hAnsi="Times New Roman"/>
          <w:sz w:val="14"/>
          <w:szCs w:val="14"/>
          <w:color w:val="auto"/>
        </w:rPr>
      </w:pPr>
    </w:p>
    <w:p>
      <w:pPr>
        <w:jc w:val="both"/>
        <w:ind w:left="1760" w:right="1079" w:hanging="345"/>
        <w:spacing w:after="0" w:line="274"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and uncertainties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contained in this prospectus, and in our most recent Annual Report on Form 10-K and in our subsequent Quarterly Reports on Form 10-Q, as well as any amendments thereto reflected in subsequent filings with the SEC.</w:t>
      </w:r>
    </w:p>
    <w:p>
      <w:pPr>
        <w:spacing w:after="0" w:line="135"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w:t>
      </w:r>
    </w:p>
    <w:p>
      <w:pPr>
        <w:spacing w:after="0" w:line="137" w:lineRule="exact"/>
        <w:rPr>
          <w:sz w:val="20"/>
          <w:szCs w:val="20"/>
          <w:color w:val="auto"/>
        </w:rPr>
      </w:pPr>
    </w:p>
    <w:p>
      <w:pPr>
        <w:jc w:val="both"/>
        <w:ind w:left="1060" w:right="1079"/>
        <w:spacing w:after="0" w:line="259" w:lineRule="auto"/>
        <w:rPr>
          <w:sz w:val="20"/>
          <w:szCs w:val="20"/>
          <w:color w:val="auto"/>
        </w:rPr>
      </w:pPr>
      <w:r>
        <w:rPr>
          <w:rFonts w:ascii="Times New Roman" w:cs="Times New Roman" w:eastAsia="Times New Roman" w:hAnsi="Times New Roman"/>
          <w:sz w:val="14"/>
          <w:szCs w:val="14"/>
          <w:color w:val="auto"/>
        </w:rPr>
        <w:t>All forward-looking statements are expressly qualified in their entirety by this cautionary note. You are cautioned to not place undue reliance on any forward-looking statements, which speak only as of the date of this prospectus or the date of the document incorporated by reference into this prospectus. 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have no obligation, and expressly disclaim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1223010</wp:posOffset>
            </wp:positionH>
            <wp:positionV relativeFrom="page">
              <wp:posOffset>302895</wp:posOffset>
            </wp:positionV>
            <wp:extent cx="5109845" cy="6908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09845" cy="6908800"/>
                    </a:xfrm>
                    <a:prstGeom prst="rect">
                      <a:avLst/>
                    </a:prstGeom>
                    <a:noFill/>
                  </pic:spPr>
                </pic:pic>
              </a:graphicData>
            </a:graphic>
          </wp:anchor>
        </w:drawing>
        <w:t>PROSPECTUS SUMMARY</w:t>
      </w:r>
    </w:p>
    <w:p>
      <w:pPr>
        <w:spacing w:after="0" w:line="181" w:lineRule="exact"/>
        <w:rPr>
          <w:sz w:val="20"/>
          <w:szCs w:val="20"/>
          <w:color w:val="auto"/>
        </w:rPr>
      </w:pPr>
    </w:p>
    <w:p>
      <w:pPr>
        <w:jc w:val="both"/>
        <w:ind w:left="1060" w:right="1079"/>
        <w:spacing w:after="0" w:line="258" w:lineRule="auto"/>
        <w:rPr>
          <w:sz w:val="20"/>
          <w:szCs w:val="20"/>
          <w:color w:val="auto"/>
        </w:rPr>
      </w:pPr>
      <w:r>
        <w:rPr>
          <w:rFonts w:ascii="Times New Roman" w:cs="Times New Roman" w:eastAsia="Times New Roman" w:hAnsi="Times New Roman"/>
          <w:sz w:val="14"/>
          <w:szCs w:val="14"/>
          <w:i w:val="1"/>
          <w:iCs w:val="1"/>
          <w:color w:val="auto"/>
        </w:rPr>
        <w:t>This summary highlights information about our company, this offering and information contained in greater detail in other parts of this prospectus or incorporated by reference into this prospectus from our filings with the SEC listed in the section 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into this prospectus in their entirety, including the “Risk Factors” and our financial statements and the related notes incorporated by reference into this prospectus, before purchasing our securities in this offering. Except as otherwise indicated herein or as the context otherwise requires, all references in this prospectus to “Bionano,” “the Company,” “we,” “us,” “our” and similar references refer to Bionano Genomics, Inc. and its subsidiaries or, as the context may require, Bionano Genomics, Inc. only. “Bionano Laboratories,” “BioDiscovery” and “Purigen” refer to our wholly owned subsidiaries, Lineagen, Inc. (doing business as Bionano Laboratories), BioDiscovery, LLC and Purigen Biosystems, Inc., respectively.</w:t>
      </w:r>
    </w:p>
    <w:p>
      <w:pPr>
        <w:spacing w:after="0" w:line="2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8" w:lineRule="exact"/>
        <w:rPr>
          <w:sz w:val="20"/>
          <w:szCs w:val="20"/>
          <w:color w:val="auto"/>
        </w:rPr>
      </w:pPr>
    </w:p>
    <w:p>
      <w:pPr>
        <w:jc w:val="both"/>
        <w:ind w:left="1060" w:right="1079"/>
        <w:spacing w:after="0" w:line="259" w:lineRule="auto"/>
        <w:rPr>
          <w:sz w:val="20"/>
          <w:szCs w:val="20"/>
          <w:color w:val="auto"/>
        </w:rPr>
      </w:pPr>
      <w:r>
        <w:rPr>
          <w:rFonts w:ascii="Times New Roman" w:cs="Times New Roman" w:eastAsia="Times New Roman" w:hAnsi="Times New Roman"/>
          <w:sz w:val="14"/>
          <w:szCs w:val="14"/>
          <w:color w:val="auto"/>
        </w:rPr>
        <w:t>We are a provider of genome analysis solutions that can enable researchers and clinicians to reveal answers to challenging questions in biology and medicine. Our mission is to transform the way the world sees the genome through optical genome mapping (“OGM”) solutions, diagnostic services and software. We offer OGM solutions for applications across basic, translational and clinical research, and for other applications including bioprocessing. We offer a platform-agnostic software solution, which integrates next-generation sequencing (“NGS”), microarray and OGM data designed to provide analysis, visualization, interpretation and reporting of copy number variants, single-nucleotide variants and absence of heterozygosity across the genome in one consolidated view. The Company also offers nucleic acid extraction and purification solutions using proprietary isotachophoresis (“ITP”) technology. Through our Bionano Laboratories business, we also provide OGM-based diagnostic testing services.</w:t>
      </w:r>
    </w:p>
    <w:p>
      <w:pPr>
        <w:spacing w:after="0" w:line="157" w:lineRule="exact"/>
        <w:rPr>
          <w:sz w:val="20"/>
          <w:szCs w:val="20"/>
          <w:color w:val="auto"/>
        </w:rPr>
      </w:pPr>
    </w:p>
    <w:p>
      <w:pPr>
        <w:jc w:val="both"/>
        <w:ind w:left="1060" w:right="1079"/>
        <w:spacing w:after="0" w:line="248" w:lineRule="auto"/>
        <w:rPr>
          <w:sz w:val="20"/>
          <w:szCs w:val="20"/>
          <w:color w:val="auto"/>
        </w:rPr>
      </w:pPr>
      <w:r>
        <w:rPr>
          <w:rFonts w:ascii="Times New Roman" w:cs="Times New Roman" w:eastAsia="Times New Roman" w:hAnsi="Times New Roman"/>
          <w:sz w:val="14"/>
          <w:szCs w:val="14"/>
          <w:color w:val="auto"/>
        </w:rPr>
        <w:t>We develop, manufacture, market and sell OGM systems, including the Saphyr</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system and the Stratys™ system, which deliver OGM data to enable ultra-sensitive and ultra-specific detection of all classes of structural variation (“SV”). These systems are used to identify structural changes in chromosomes, the study of which is known as cytogenetics, and to accelerate the search for answers in genetic disease and cancer applications as well as in applications for cell and gene therapy. The systems are comprised of an instrument, chip consumables, reagents and software containing a suite of data analysis and visualization tools. OGM has been shown to outperform the current gold standard cytogenetic methods including karyotyping, fluorescence in-situ hybridization (“FISH”), Southern blot and chromosomal microarray (“CMA”), for the detection of SVs. OGM has also been shown to identify structural changes in chromosomes that cannot be identified using current commercially available gene sequencing solutions.</w:t>
      </w:r>
    </w:p>
    <w:p>
      <w:pPr>
        <w:spacing w:after="0" w:line="164" w:lineRule="exact"/>
        <w:rPr>
          <w:sz w:val="20"/>
          <w:szCs w:val="20"/>
          <w:color w:val="auto"/>
        </w:rPr>
      </w:pPr>
    </w:p>
    <w:p>
      <w:pPr>
        <w:jc w:val="both"/>
        <w:ind w:left="1060" w:right="1079"/>
        <w:spacing w:after="0" w:line="238" w:lineRule="auto"/>
        <w:rPr>
          <w:sz w:val="20"/>
          <w:szCs w:val="20"/>
          <w:color w:val="auto"/>
        </w:rPr>
      </w:pPr>
      <w:r>
        <w:rPr>
          <w:rFonts w:ascii="Times New Roman" w:cs="Times New Roman" w:eastAsia="Times New Roman" w:hAnsi="Times New Roman"/>
          <w:sz w:val="14"/>
          <w:szCs w:val="14"/>
          <w:color w:val="auto"/>
        </w:rPr>
        <w:t>We develop, manufacture, market and sell the Ionic</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Purification system, which is able to deliver high quality DNA in a more natural, native form and with fewer contaminants when compared to other isolation and purification solutions. The Ionic Purification system is used to extract, purify, and concentrate DNA or RNA from a variety of sample types, and is comprised of an instrument, consumables, and reagents.</w:t>
      </w:r>
    </w:p>
    <w:p>
      <w:pPr>
        <w:spacing w:after="0" w:line="160" w:lineRule="exact"/>
        <w:rPr>
          <w:sz w:val="20"/>
          <w:szCs w:val="20"/>
          <w:color w:val="auto"/>
        </w:rPr>
      </w:pPr>
    </w:p>
    <w:p>
      <w:pPr>
        <w:jc w:val="both"/>
        <w:ind w:left="1060" w:right="1079"/>
        <w:spacing w:after="0" w:line="258" w:lineRule="auto"/>
        <w:rPr>
          <w:sz w:val="20"/>
          <w:szCs w:val="20"/>
          <w:color w:val="auto"/>
        </w:rPr>
      </w:pPr>
      <w:r>
        <w:rPr>
          <w:rFonts w:ascii="Times New Roman" w:cs="Times New Roman" w:eastAsia="Times New Roman" w:hAnsi="Times New Roman"/>
          <w:sz w:val="14"/>
          <w:szCs w:val="14"/>
          <w:color w:val="auto"/>
        </w:rPr>
        <w:t>We develop, manufacture, market and sell the VIA™ software which delivers genomic data interpretation solutions tailored for research use in cytogenomics and molecular pathology labs in genetic disease and cancer research markets, with an emphasis on SV. This industry leading, platform agnostic software solution is designed to provide analysis, visualization, interpretation and reporting of SVs, single-nucleotide variants and absence of heterozygosity across the genome in one consolidated view. Our software currently enables analysis of OGM, NGS and microarray data. We believe the integration of OGM with data types common in the industry, such as Variant Call Format (“VCF”), and Binary Alignment Map (“BAM”), into the VIA software should accelerate and broaden our position in digital cytogenetics and comprehensive genome analysis by enabling us to simplify the assessment of clinically relevant variants in cytogenomics applications, potentially reducing interpretation time per sample and expanding our reach into the discovery and translational research markets through the combination of OGM and NGS.</w:t>
      </w:r>
    </w:p>
    <w:p>
      <w:pPr>
        <w:spacing w:after="0" w:line="151"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Our Bionano Laboratories business has developed and provides an OGM-based Laboratory Developed Test (“LDT”) for facioscapulohumeral muscular dystrophy type 1 (“FSHD1”), which is a progressive disorder that primarily affects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437515</wp:posOffset>
            </wp:positionV>
            <wp:extent cx="557784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53" w:right="1440" w:bottom="1440" w:gutter="0" w:footer="0" w:header="0"/>
        </w:sectPr>
      </w:pPr>
    </w:p>
    <w:bookmarkStart w:id="10" w:name="page11"/>
    <w:bookmarkEnd w:id="10"/>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1223010</wp:posOffset>
            </wp:positionH>
            <wp:positionV relativeFrom="page">
              <wp:posOffset>302895</wp:posOffset>
            </wp:positionV>
            <wp:extent cx="5109845" cy="6895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09845" cy="6895465"/>
                    </a:xfrm>
                    <a:prstGeom prst="rect">
                      <a:avLst/>
                    </a:prstGeom>
                    <a:noFill/>
                  </pic:spPr>
                </pic:pic>
              </a:graphicData>
            </a:graphic>
          </wp:anchor>
        </w:drawing>
        <w:t>muscles of the face, shoulder blades (scapula), upper arms, and lower legs. Bionano Laboratories has previously offered LDTs for detecting SVs in individuals with hematologic malignancies, and for detecting SVs in pre- and post-natal samples, through its OGM-Dx™ testing services, and may decide to offer such LDTs in the future again. During 2024, Bionano Laboratories phased out the offering of certain testing services for individuals demonstrating clinical presentations consistent with neurodevelopmental disorders (“NDDs”), including autism spectrum disorders (“ASDs”) and other disorders of childhood development, and during 2025 phased out the offering of OGM-based LDT tests for hematological malignancies and pre- and postnatal constitutional genetic disorders.</w:t>
      </w:r>
    </w:p>
    <w:p>
      <w:pPr>
        <w:spacing w:after="0" w:line="147"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Bionano Laboratories also provides laboratory services to clinicians, scientists, pharmaceutical companies, and others who are seeking to incorporate OGM into their genomics research without the need to bring one of our OGM systems in house. Laboratory services for OGM are performed in our laboratory facilities in San Diego, California and, from time-to-time, at partner laboratories in the United States and Europe, and serve as solutions for researchers and clinicians who would like to use OGM for various applications in genomics but have yet to acquire an OGM system.</w:t>
      </w:r>
    </w:p>
    <w:p>
      <w:pPr>
        <w:spacing w:after="0" w:line="144" w:lineRule="exact"/>
        <w:rPr>
          <w:sz w:val="20"/>
          <w:szCs w:val="20"/>
          <w:color w:val="auto"/>
        </w:rPr>
      </w:pPr>
    </w:p>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t>We have in recent years transformed our business from an instrument company to a provider of a full suite of genomic solutions. We expanded into molecular genetic clinical testing services through our August 2020 acquisition of Lineagen. We furthered our transformation through the expansion into software solutions, made possible by our October 2021 acquisition of BioDiscovery and continued with our November 2022 acquisition of Purigen bringing their leading nucleic acid isolation and purification technology to Bionano. We believe that these acquisitions, along with internal investments in research and development and the build out of our commercial teams, have positioned us well to provide solutions to our customers that we believe will make OGM the standard cytogenetic technique for structural variant analysis.</w:t>
      </w:r>
    </w:p>
    <w:p>
      <w:pPr>
        <w:spacing w:after="0" w:line="318"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We expect to continue the cost saving initiatives previously undertaken and maintain focus on our business strategy and efforts on maximizing the utilization of OGM systems across our current installed base with less emphasis on new placements of OGM systems.</w:t>
      </w:r>
    </w:p>
    <w:p>
      <w:pPr>
        <w:spacing w:after="0" w:line="2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8"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We were formed in January 2003 as BioNanomatrix LLC, a Delaware limited liability company. In August 2007, we became BioNanomatrix Inc., a Delaware corporation. In October 2011, we changed our name to BioNano Genomics, Inc., and in July 2018, we changed our name to Bionano Genomics, Inc.</w:t>
      </w:r>
    </w:p>
    <w:p>
      <w:pPr>
        <w:spacing w:after="0" w:line="137"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9540 Towne Centre Drive, Suite 100, San Diego, California 92121, and our telephone number is (858) 888-7600. Our website address is </w:t>
      </w:r>
      <w:r>
        <w:rPr>
          <w:rFonts w:ascii="Times New Roman" w:cs="Times New Roman" w:eastAsia="Times New Roman" w:hAnsi="Times New Roman"/>
          <w:sz w:val="14"/>
          <w:szCs w:val="14"/>
          <w:i w:val="1"/>
          <w:iCs w:val="1"/>
          <w:color w:val="auto"/>
        </w:rPr>
        <w:t>www.bionano.com,</w:t>
      </w:r>
      <w:r>
        <w:rPr>
          <w:rFonts w:ascii="Times New Roman" w:cs="Times New Roman" w:eastAsia="Times New Roman" w:hAnsi="Times New Roman"/>
          <w:sz w:val="14"/>
          <w:szCs w:val="14"/>
          <w:color w:val="auto"/>
        </w:rPr>
        <w:t xml:space="preserve"> and we regularly post copies of our press releases as well as additional information about us on our website. Information contained in, or that can be accessed through, our website is not incorporated by reference into this prospectus, and you should not consider information on our website to be part of this prospectus or in deciding whether to purchase our securities.</w:t>
      </w:r>
    </w:p>
    <w:p>
      <w:pPr>
        <w:spacing w:after="0" w:line="144" w:lineRule="exact"/>
        <w:rPr>
          <w:sz w:val="20"/>
          <w:szCs w:val="20"/>
          <w:color w:val="auto"/>
        </w:rPr>
      </w:pPr>
    </w:p>
    <w:p>
      <w:pPr>
        <w:jc w:val="both"/>
        <w:ind w:left="1060" w:right="1079"/>
        <w:spacing w:after="0" w:line="265" w:lineRule="auto"/>
        <w:rPr>
          <w:sz w:val="20"/>
          <w:szCs w:val="20"/>
          <w:color w:val="auto"/>
        </w:rPr>
      </w:pPr>
      <w:r>
        <w:rPr>
          <w:rFonts w:ascii="Times New Roman" w:cs="Times New Roman" w:eastAsia="Times New Roman" w:hAnsi="Times New Roman"/>
          <w:sz w:val="14"/>
          <w:szCs w:val="14"/>
          <w:color w:val="auto"/>
        </w:rPr>
        <w:t>Our design logo, “Bionano,” and our other registered and common law trade names, trademarks and service marks are the property of Bionano Genomics, Inc. The trademarks, trade names and service marks appearing in this prospectus are the property of their respective owners. We do not intend our use or display of other companies’ trademarks, trade names or service marks to imply a relationship with, or endorsement or sponsorship of us by, any other companies or products.</w:t>
      </w:r>
    </w:p>
    <w:p>
      <w:pPr>
        <w:spacing w:after="0" w:line="3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98" w:lineRule="exact"/>
        <w:rPr>
          <w:sz w:val="20"/>
          <w:szCs w:val="20"/>
          <w:color w:val="auto"/>
        </w:rPr>
      </w:pPr>
    </w:p>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comparison of our financial statements with other public companies difficult or impossible.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437515</wp:posOffset>
            </wp:positionV>
            <wp:extent cx="557784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26" w:right="1440"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1223010</wp:posOffset>
            </wp:positionH>
            <wp:positionV relativeFrom="page">
              <wp:posOffset>302895</wp:posOffset>
            </wp:positionV>
            <wp:extent cx="5109845" cy="5687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09845" cy="5687060"/>
                    </a:xfrm>
                    <a:prstGeom prst="rect">
                      <a:avLst/>
                    </a:prstGeom>
                    <a:noFill/>
                  </pic:spPr>
                </pic:pic>
              </a:graphicData>
            </a:graphic>
          </wp:anchor>
        </w:drawing>
        <w:t>THE OFFERING</w:t>
      </w:r>
    </w:p>
    <w:p>
      <w:pPr>
        <w:sectPr>
          <w:pgSz w:w="11900" w:h="16838" w:orient="portrait"/>
          <w:cols w:equalWidth="0" w:num="1">
            <w:col w:w="9019"/>
          </w:cols>
          <w:pgMar w:left="1440" w:top="1053" w:right="1440" w:bottom="1440" w:gutter="0" w:footer="0" w:header="0"/>
        </w:sectPr>
      </w:pPr>
    </w:p>
    <w:p>
      <w:pPr>
        <w:spacing w:after="0" w:line="20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1079"/>
        <w:spacing w:after="0" w:line="290" w:lineRule="auto"/>
        <w:rPr>
          <w:sz w:val="20"/>
          <w:szCs w:val="20"/>
          <w:color w:val="auto"/>
        </w:rPr>
      </w:pPr>
      <w:r>
        <w:rPr>
          <w:rFonts w:ascii="Times New Roman" w:cs="Times New Roman" w:eastAsia="Times New Roman" w:hAnsi="Times New Roman"/>
          <w:sz w:val="14"/>
          <w:szCs w:val="14"/>
          <w:color w:val="auto"/>
        </w:rPr>
        <w:t>1,332,632 shares of common stock issuable upon exercise of outstanding Warrants.</w:t>
      </w:r>
    </w:p>
    <w:p>
      <w:pPr>
        <w:spacing w:after="0" w:line="143" w:lineRule="exact"/>
        <w:rPr>
          <w:sz w:val="20"/>
          <w:szCs w:val="20"/>
          <w:color w:val="auto"/>
        </w:rPr>
      </w:pPr>
    </w:p>
    <w:p>
      <w:pPr>
        <w:sectPr>
          <w:pgSz w:w="11900" w:h="16838" w:orient="portrait"/>
          <w:cols w:equalWidth="0" w:num="2">
            <w:col w:w="2800" w:space="500"/>
            <w:col w:w="5719"/>
          </w:cols>
          <w:pgMar w:left="1440" w:top="1053" w:right="1440" w:bottom="1440" w:gutter="0" w:footer="0" w:header="0"/>
          <w:type w:val="continuous"/>
        </w:sectPr>
      </w:pPr>
    </w:p>
    <w:p>
      <w:pPr>
        <w:ind w:left="1060"/>
        <w:spacing w:after="0" w:line="274" w:lineRule="auto"/>
        <w:rPr>
          <w:sz w:val="20"/>
          <w:szCs w:val="20"/>
          <w:color w:val="auto"/>
        </w:rPr>
      </w:pPr>
      <w:r>
        <w:rPr>
          <w:rFonts w:ascii="Times New Roman" w:cs="Times New Roman" w:eastAsia="Times New Roman" w:hAnsi="Times New Roman"/>
          <w:sz w:val="14"/>
          <w:szCs w:val="14"/>
          <w:b w:val="1"/>
          <w:bCs w:val="1"/>
          <w:color w:val="auto"/>
        </w:rPr>
        <w:t>Common stock outstanding immediately prior to this offering</w:t>
      </w:r>
      <w:r>
        <w:rPr>
          <w:rFonts w:ascii="Times New Roman" w:cs="Times New Roman" w:eastAsia="Times New Roman" w:hAnsi="Times New Roman"/>
          <w:sz w:val="9"/>
          <w:szCs w:val="9"/>
          <w:b w:val="1"/>
          <w:b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13,976,957 shares of common stock.</w:t>
      </w:r>
    </w:p>
    <w:p>
      <w:pPr>
        <w:spacing w:after="0" w:line="542" w:lineRule="exact"/>
        <w:rPr>
          <w:sz w:val="20"/>
          <w:szCs w:val="20"/>
          <w:color w:val="auto"/>
        </w:rPr>
      </w:pPr>
    </w:p>
    <w:p>
      <w:pPr>
        <w:sectPr>
          <w:pgSz w:w="11900" w:h="16838" w:orient="portrait"/>
          <w:cols w:equalWidth="0" w:num="2">
            <w:col w:w="2740" w:space="560"/>
            <w:col w:w="5719"/>
          </w:cols>
          <w:pgMar w:left="1440" w:top="1053" w:right="1440" w:bottom="1440" w:gutter="0" w:footer="0" w:header="0"/>
          <w:type w:val="continuous"/>
        </w:sectPr>
      </w:pPr>
    </w:p>
    <w:p>
      <w:pPr>
        <w:ind w:left="1060"/>
        <w:spacing w:after="0" w:line="274" w:lineRule="auto"/>
        <w:rPr>
          <w:sz w:val="20"/>
          <w:szCs w:val="20"/>
          <w:color w:val="auto"/>
        </w:rPr>
      </w:pPr>
      <w:r>
        <w:rPr>
          <w:rFonts w:ascii="Times New Roman" w:cs="Times New Roman" w:eastAsia="Times New Roman" w:hAnsi="Times New Roman"/>
          <w:sz w:val="14"/>
          <w:szCs w:val="14"/>
          <w:b w:val="1"/>
          <w:bCs w:val="1"/>
          <w:color w:val="auto"/>
        </w:rPr>
        <w:t>Common stock to be outstanding immediately following this offering</w:t>
      </w:r>
      <w:r>
        <w:rPr>
          <w:rFonts w:ascii="Times New Roman" w:cs="Times New Roman" w:eastAsia="Times New Roman" w:hAnsi="Times New Roman"/>
          <w:sz w:val="9"/>
          <w:szCs w:val="9"/>
          <w:b w:val="1"/>
          <w:b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15,309,589 shares of common stock, assuming exercise of the Warrants in full.</w:t>
      </w:r>
    </w:p>
    <w:p>
      <w:pPr>
        <w:spacing w:after="0" w:line="542" w:lineRule="exact"/>
        <w:rPr>
          <w:sz w:val="20"/>
          <w:szCs w:val="20"/>
          <w:color w:val="auto"/>
        </w:rPr>
      </w:pPr>
    </w:p>
    <w:p>
      <w:pPr>
        <w:sectPr>
          <w:pgSz w:w="11900" w:h="16838" w:orient="portrait"/>
          <w:cols w:equalWidth="0" w:num="2">
            <w:col w:w="3060" w:space="240"/>
            <w:col w:w="5719"/>
          </w:cols>
          <w:pgMar w:left="1440" w:top="1053" w:right="1440"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 w:lineRule="exact"/>
        <w:rPr>
          <w:sz w:val="20"/>
          <w:szCs w:val="20"/>
          <w:color w:val="auto"/>
        </w:rPr>
      </w:pPr>
      <w:r>
        <w:rPr>
          <w:sz w:val="20"/>
          <w:szCs w:val="20"/>
          <w:color w:val="auto"/>
        </w:rPr>
        <w:br w:type="column"/>
      </w:r>
    </w:p>
    <w:p>
      <w:pPr>
        <w:jc w:val="both"/>
        <w:ind w:right="1079"/>
        <w:spacing w:after="0" w:line="262" w:lineRule="auto"/>
        <w:rPr>
          <w:sz w:val="20"/>
          <w:szCs w:val="20"/>
          <w:color w:val="auto"/>
        </w:rPr>
      </w:pPr>
      <w:r>
        <w:rPr>
          <w:rFonts w:ascii="Times New Roman" w:cs="Times New Roman" w:eastAsia="Times New Roman" w:hAnsi="Times New Roman"/>
          <w:sz w:val="14"/>
          <w:szCs w:val="14"/>
          <w:color w:val="auto"/>
        </w:rPr>
        <w:t>We estimate that the proceeds from the exercise of the Warrants, if they are exercised in full, will be approximately $90 million. We intend to use the net proceeds, together with our existing cash and cash equivalents and available-for-sale securities, for general corporate purposes, including working capital, research and development expenses, and capital expenditures. See the section titled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162" w:lineRule="exact"/>
        <w:rPr>
          <w:sz w:val="20"/>
          <w:szCs w:val="20"/>
          <w:color w:val="auto"/>
        </w:rPr>
      </w:pPr>
    </w:p>
    <w:p>
      <w:pPr>
        <w:sectPr>
          <w:pgSz w:w="11900" w:h="16838" w:orient="portrait"/>
          <w:cols w:equalWidth="0" w:num="2">
            <w:col w:w="2580" w:space="720"/>
            <w:col w:w="5719"/>
          </w:cols>
          <w:pgMar w:left="1440" w:top="1053" w:right="1440"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ind w:right="1079"/>
        <w:spacing w:after="0" w:line="293"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on page 4 of this prospectus and other documents incorporated by reference herein.</w:t>
      </w:r>
    </w:p>
    <w:p>
      <w:pPr>
        <w:spacing w:after="0" w:line="141" w:lineRule="exact"/>
        <w:rPr>
          <w:sz w:val="20"/>
          <w:szCs w:val="20"/>
          <w:color w:val="auto"/>
        </w:rPr>
      </w:pPr>
    </w:p>
    <w:p>
      <w:pPr>
        <w:sectPr>
          <w:pgSz w:w="11900" w:h="16838" w:orient="portrait"/>
          <w:cols w:equalWidth="0" w:num="2">
            <w:col w:w="2580" w:space="720"/>
            <w:col w:w="5719"/>
          </w:cols>
          <w:pgMar w:left="1440" w:top="1053" w:right="1440"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“BNGO”</w:t>
      </w:r>
    </w:p>
    <w:p>
      <w:pPr>
        <w:spacing w:after="0" w:line="192" w:lineRule="exact"/>
        <w:rPr>
          <w:sz w:val="20"/>
          <w:szCs w:val="20"/>
          <w:color w:val="auto"/>
        </w:rPr>
      </w:pPr>
    </w:p>
    <w:p>
      <w:pPr>
        <w:sectPr>
          <w:pgSz w:w="11900" w:h="16838" w:orient="portrait"/>
          <w:cols w:equalWidth="0" w:num="2">
            <w:col w:w="2980" w:space="320"/>
            <w:col w:w="5719"/>
          </w:cols>
          <w:pgMar w:left="1440" w:top="1053" w:right="1440" w:bottom="1440" w:gutter="0" w:footer="0" w:header="0"/>
          <w:type w:val="continuous"/>
        </w:sectPr>
      </w:pPr>
    </w:p>
    <w:p>
      <w:pPr>
        <w:jc w:val="both"/>
        <w:ind w:left="1340" w:right="1079" w:hanging="281"/>
        <w:spacing w:after="0" w:line="27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our shares of common stock shown above to be outstanding immediately before and after this offering as shown above is based on 13,976,957 shares of our common stock outstanding as of October 23, 2026, and excludes:</w:t>
      </w:r>
    </w:p>
    <w:p>
      <w:pPr>
        <w:spacing w:after="0" w:line="51" w:lineRule="exact"/>
        <w:rPr>
          <w:rFonts w:ascii="Times New Roman" w:cs="Times New Roman" w:eastAsia="Times New Roman" w:hAnsi="Times New Roman"/>
          <w:sz w:val="14"/>
          <w:szCs w:val="14"/>
          <w:color w:val="auto"/>
        </w:rPr>
      </w:pPr>
    </w:p>
    <w:p>
      <w:pPr>
        <w:ind w:left="1580" w:right="1079" w:hanging="203"/>
        <w:spacing w:after="0" w:line="290" w:lineRule="auto"/>
        <w:tabs>
          <w:tab w:leader="none" w:pos="1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624,255 shares of common stock issuable upon the exercise of outstanding stock options with a weighted-average exercise price of $46.30 per share;</w:t>
      </w:r>
    </w:p>
    <w:p>
      <w:pPr>
        <w:spacing w:after="0" w:line="38" w:lineRule="exact"/>
        <w:rPr>
          <w:rFonts w:ascii="Times New Roman" w:cs="Times New Roman" w:eastAsia="Times New Roman" w:hAnsi="Times New Roman"/>
          <w:sz w:val="14"/>
          <w:szCs w:val="14"/>
          <w:color w:val="auto"/>
        </w:rPr>
      </w:pPr>
    </w:p>
    <w:p>
      <w:pPr>
        <w:ind w:left="1580" w:right="1079" w:hanging="203"/>
        <w:spacing w:after="0" w:line="290" w:lineRule="auto"/>
        <w:tabs>
          <w:tab w:leader="none" w:pos="1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11,916,424 shares of common stock issuable upon the exercise of outstanding warrants with a weighted average exercise price of $13.40 per share;</w:t>
      </w:r>
    </w:p>
    <w:p>
      <w:pPr>
        <w:spacing w:after="0" w:line="38"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1,374 shares of common stock issuable upon the vesting and settlement of restricted stock units outstanding;</w:t>
      </w:r>
    </w:p>
    <w:p>
      <w:pPr>
        <w:spacing w:after="0" w:line="95" w:lineRule="exact"/>
        <w:rPr>
          <w:rFonts w:ascii="Times New Roman" w:cs="Times New Roman" w:eastAsia="Times New Roman" w:hAnsi="Times New Roman"/>
          <w:sz w:val="14"/>
          <w:szCs w:val="14"/>
          <w:color w:val="auto"/>
        </w:rPr>
      </w:pPr>
    </w:p>
    <w:p>
      <w:pPr>
        <w:ind w:left="1580" w:right="1079" w:hanging="203"/>
        <w:spacing w:after="0" w:line="290" w:lineRule="auto"/>
        <w:tabs>
          <w:tab w:leader="none" w:pos="1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35,471 shares of common stock reserved for future issuance under our 2020 Inducement Plan (“2020 Plan”), plus any additional shares of our common stock that may become available under the 2020 Plan;</w:t>
      </w:r>
    </w:p>
    <w:p>
      <w:pPr>
        <w:spacing w:after="0" w:line="38"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1,379 shares of our common stock reserved for issuance under our 2018 Employee Stock Purchase Plan; and</w:t>
      </w:r>
    </w:p>
    <w:p>
      <w:pPr>
        <w:spacing w:after="0" w:line="95"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118,738 shares of our common stock reserved for issuance under our 2018 Equity Incentive Plan.</w:t>
      </w:r>
    </w:p>
    <w:p>
      <w:pPr>
        <w:spacing w:after="0" w:line="181"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Except as otherwise indicated, the information in this prospectus assumes no exercise or conversion of the outstanding stock options, or common warrants (other than the Warrants) summarized above and no vesting or settlement of the outstanding restricted stock units summarized above.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437515</wp:posOffset>
            </wp:positionV>
            <wp:extent cx="557784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53" w:right="1440" w:bottom="1440" w:gutter="0" w:footer="0" w:header="0"/>
          <w:type w:val="continuous"/>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1" w:lineRule="exact"/>
        <w:rPr>
          <w:sz w:val="20"/>
          <w:szCs w:val="20"/>
          <w:color w:val="auto"/>
        </w:rPr>
      </w:pPr>
    </w:p>
    <w:p>
      <w:pPr>
        <w:jc w:val="both"/>
        <w:ind w:left="1060" w:right="1079"/>
        <w:spacing w:after="0" w:line="258" w:lineRule="auto"/>
        <w:rPr>
          <w:sz w:val="20"/>
          <w:szCs w:val="20"/>
          <w:color w:val="auto"/>
        </w:rPr>
      </w:pPr>
      <w:r>
        <w:rPr>
          <w:rFonts w:ascii="Times New Roman" w:cs="Times New Roman" w:eastAsia="Times New Roman" w:hAnsi="Times New Roman"/>
          <w:sz w:val="14"/>
          <w:szCs w:val="14"/>
          <w:i w:val="1"/>
          <w:iCs w:val="1"/>
          <w:color w:val="auto"/>
        </w:rPr>
        <w:t>An investment in our common stock involves a high degree of risk. You should carefully consider the following risk factors and the risk factors discussed under the section titled “Risk Factors” contained in our Annual Report on Form 10-K for the year ended December 31, 2025, as updated by our subsequent filings, which are incorporated by reference into this prospectus in their entirety, together with all of the other information contained in this prospectus or incorporated by reference into this prospectus. For a description of these reports and documents, and information about where you can find them, see “Where You Can Find Additional Information” and “Incorporation of Certain Information by Reference.” The risks and uncertainties described in these documents are not the only ones we face. Other risks and uncertainties, including those that we do not currently consider material, may impair our business. If any of the risks discussed below or incorporated by reference actually occur, our business, financial condition, operating results or cash flows could be materially adversely affected. This could cause the value of our securities to decline, and you may lose all or part of your investment.</w:t>
      </w:r>
    </w:p>
    <w:p>
      <w:pPr>
        <w:spacing w:after="0" w:line="23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4" w:lineRule="exact"/>
        <w:rPr>
          <w:sz w:val="20"/>
          <w:szCs w:val="20"/>
          <w:color w:val="auto"/>
        </w:rPr>
      </w:pPr>
    </w:p>
    <w:p>
      <w:pPr>
        <w:jc w:val="both"/>
        <w:ind w:left="1060" w:right="1079"/>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Management will have broad discretion as to the use of the proceeds from this offering, and we may not use the proceeds effectively.</w:t>
      </w:r>
    </w:p>
    <w:p>
      <w:pPr>
        <w:spacing w:after="0" w:line="34" w:lineRule="exact"/>
        <w:rPr>
          <w:sz w:val="20"/>
          <w:szCs w:val="20"/>
          <w:color w:val="auto"/>
        </w:rPr>
      </w:pPr>
    </w:p>
    <w:p>
      <w:pPr>
        <w:jc w:val="both"/>
        <w:ind w:left="1060" w:right="1079"/>
        <w:spacing w:after="0" w:line="259"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we receive from this offering, including for any of the purposes described in the section titled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could spend the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for further information on the anticipated use of proceeds from this offering.</w:t>
      </w:r>
    </w:p>
    <w:p>
      <w:pPr>
        <w:spacing w:after="0" w:line="2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We may issue additional equity or convertible debt securities in the future, which may result in dilution to you.</w:t>
      </w:r>
    </w:p>
    <w:p>
      <w:pPr>
        <w:spacing w:after="0" w:line="100"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We have a significant number of outstanding stock options, restricted stock units, and warrants outstanding. To the extent that outstanding stock options, or warrants have been or may be exercised or converted, restricted stock units vest and settle, or other securities issued, investors purchasing our common stock upon the exercise of the Warrants in this offering may experience dilution. In addition, we may choose to raise additional capital in the future. To the extent that additional capital is raised through the sale of equity or convertible debt securities, the issuance of these securities could result in further dilution to our stockholders or result in downward pressure on the price of our common stock.</w:t>
      </w:r>
    </w:p>
    <w:p>
      <w:pPr>
        <w:spacing w:after="0" w:line="224" w:lineRule="exact"/>
        <w:rPr>
          <w:sz w:val="20"/>
          <w:szCs w:val="20"/>
          <w:color w:val="auto"/>
        </w:rPr>
      </w:pPr>
    </w:p>
    <w:p>
      <w:pPr>
        <w:jc w:val="both"/>
        <w:ind w:left="1060" w:right="1079"/>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or the perception that such future sales may occur, may cause our stock price to decline.</w:t>
      </w:r>
    </w:p>
    <w:p>
      <w:pPr>
        <w:spacing w:after="0" w:line="34"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or the perception that these sales could occur, during or after the completion of this offering could cause the market price of our common stock to decline. A substantial majority of the outstanding shares of our common stock are, and the shares of common stock being sold upon the exercise of the Warrants in this offering will be, freely tradable without restriction or further registration under the Securities Act.</w:t>
      </w:r>
    </w:p>
    <w:p>
      <w:pPr>
        <w:spacing w:after="0" w:line="226" w:lineRule="exact"/>
        <w:rPr>
          <w:sz w:val="20"/>
          <w:szCs w:val="20"/>
          <w:color w:val="auto"/>
        </w:rPr>
      </w:pPr>
    </w:p>
    <w:p>
      <w:pPr>
        <w:jc w:val="both"/>
        <w:ind w:left="1060" w:right="1079"/>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The price of our securities has been and may in the future be volatile or may decline regardless of our operating performance, and you could lose all or part of your investment.</w:t>
      </w:r>
    </w:p>
    <w:p>
      <w:pPr>
        <w:spacing w:after="0" w:line="34" w:lineRule="exact"/>
        <w:rPr>
          <w:sz w:val="20"/>
          <w:szCs w:val="20"/>
          <w:color w:val="auto"/>
        </w:rPr>
      </w:pPr>
    </w:p>
    <w:p>
      <w:pPr>
        <w:jc w:val="both"/>
        <w:ind w:left="1060" w:right="1079"/>
        <w:spacing w:after="0" w:line="266" w:lineRule="auto"/>
        <w:rPr>
          <w:sz w:val="20"/>
          <w:szCs w:val="20"/>
          <w:color w:val="auto"/>
        </w:rPr>
      </w:pPr>
      <w:r>
        <w:rPr>
          <w:rFonts w:ascii="Times New Roman" w:cs="Times New Roman" w:eastAsia="Times New Roman" w:hAnsi="Times New Roman"/>
          <w:sz w:val="14"/>
          <w:szCs w:val="14"/>
          <w:color w:val="auto"/>
        </w:rPr>
        <w:t>Our stock price has been and may continue to be volatile. The daily closing market price for our common stock has varied significantly in the last 12 months, ranging between a high price of $1.87 on October 28, 2025 and a low price of $1.06 on July 30, 2026. During this time, the price per share of common stock has ranged from an intra-day low of $1.00 per share to an intra-day high of $2.23 per share.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13" w:name="page14"/>
    <w:bookmarkEnd w:id="13"/>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trading price of our common stock is likely to be highly volatile and could be subject to wide fluctuations in response to various factors, some of which are beyond our control, including limited trading volume. We cannot predict the actions of market participants and, therefore, can offer no assurances that the market for our common stock will be stable or appreciate over time. The market price of our common stock may be influenced by many factors, including but not limited to:</w:t>
      </w:r>
    </w:p>
    <w:p>
      <w:pPr>
        <w:spacing w:after="0" w:line="59" w:lineRule="exact"/>
        <w:rPr>
          <w:sz w:val="20"/>
          <w:szCs w:val="20"/>
          <w:color w:val="auto"/>
        </w:rPr>
      </w:pPr>
    </w:p>
    <w:p>
      <w:pPr>
        <w:ind w:left="1760" w:right="1079" w:hanging="345"/>
        <w:spacing w:after="0" w:line="290"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 progress in marketing and selling our genome analysis systems, including sales and revenue trends;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systems;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related to our laboratory facilities;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in the diagnostics services industry;</w:t>
      </w:r>
    </w:p>
    <w:p>
      <w:pPr>
        <w:spacing w:after="0" w:line="95"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or funding of research at academic and governmental research institutions, as well as pharmaceutical, biotechnology and contract research companies, including changes that would affect their ability to purchase our products, consumables and technologies;</w:t>
      </w:r>
    </w:p>
    <w:p>
      <w:pPr>
        <w:spacing w:after="0" w:line="51"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obtain and/or maintain coverage and adequate reimbursement for our Bionano Laboratories products and diagnostic assays and patients’ willingness to pay out-of-pocket in the absence of such coverage and adequate reimbursement;</w:t>
      </w:r>
    </w:p>
    <w:p>
      <w:pPr>
        <w:spacing w:after="0" w:line="51"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customers to obtain and/or maintain coverage and adequate reimbursement for their services using our OGM systems, Ionic Purification systems or our VIA software;</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concerning our manufacturers and suppliers;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establish future collaborations;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scientific or management personnel;</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testing services offered by us or our competitors;</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dispositions, strategic partnerships, joint ventures or capital commitments by us or our competitors;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if any, of our targeted markets;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or discontinuation of any of our product development and research programs;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quarterly operating results;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position;</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 estimates and projections of the investment community and securities analysts or that we may otherwise provide to the public;</w:t>
      </w:r>
    </w:p>
    <w:p>
      <w:pPr>
        <w:spacing w:after="0" w:line="38"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industries or positive or negative recommendations or withdrawal of research coverage by securities analysts;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of debt or equity securities;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securities by us or our stockholders in the future;</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securities;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practices;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of our internal controls;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breaches of our company, providers, vendors or customers;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14" w:name="page15"/>
    <w:bookmarkEnd w:id="14"/>
    <w:p>
      <w:pPr>
        <w:ind w:left="1760" w:hanging="345"/>
        <w:spacing w:after="0"/>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our ability to adequately protect our proprietary rights in our technologies;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95" w:lineRule="exact"/>
        <w:rPr>
          <w:rFonts w:ascii="Times New Roman" w:cs="Times New Roman" w:eastAsia="Times New Roman" w:hAnsi="Times New Roman"/>
          <w:sz w:val="14"/>
          <w:szCs w:val="14"/>
          <w:color w:val="auto"/>
        </w:rPr>
      </w:pPr>
    </w:p>
    <w:p>
      <w:pPr>
        <w:jc w:val="both"/>
        <w:ind w:left="1760" w:right="1079" w:hanging="345"/>
        <w:spacing w:after="0" w:line="290"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infectious diseases, conflict, including the ongoing military international conflicts and the related sanctions, civil unrest, epidemics or pandemics, outbreaks, resurgences or major catastrophic events;</w:t>
      </w:r>
    </w:p>
    <w:p>
      <w:pPr>
        <w:spacing w:after="0" w:line="38"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and economic conditions, including potential future disruptions in access to bank deposits or lending commitments due to bank failures;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cost saving initiatives announced in 2023 and 2024;</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many of which are beyond our control; and</w:t>
      </w:r>
    </w:p>
    <w:p>
      <w:pPr>
        <w:spacing w:after="0" w:line="93" w:lineRule="exact"/>
        <w:rPr>
          <w:rFonts w:ascii="Times New Roman" w:cs="Times New Roman" w:eastAsia="Times New Roman" w:hAnsi="Times New Roman"/>
          <w:sz w:val="14"/>
          <w:szCs w:val="14"/>
          <w:color w:val="auto"/>
        </w:rPr>
      </w:pPr>
    </w:p>
    <w:p>
      <w:pPr>
        <w:jc w:val="both"/>
        <w:ind w:left="1760" w:right="1079" w:hanging="345"/>
        <w:spacing w:after="0" w:line="274"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uncertainties affecting us, including those described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in our most recent Annual Report on Form 10-K and in any subsequently filed Quarterly Reports on Form 10-Q and Current Reports on Form 8-K.</w:t>
      </w:r>
    </w:p>
    <w:p>
      <w:pPr>
        <w:spacing w:after="0" w:line="135" w:lineRule="exact"/>
        <w:rPr>
          <w:sz w:val="20"/>
          <w:szCs w:val="20"/>
          <w:color w:val="auto"/>
        </w:rPr>
      </w:pPr>
    </w:p>
    <w:p>
      <w:pPr>
        <w:jc w:val="both"/>
        <w:ind w:left="1060" w:right="1079"/>
        <w:spacing w:after="0" w:line="258" w:lineRule="auto"/>
        <w:rPr>
          <w:sz w:val="20"/>
          <w:szCs w:val="20"/>
          <w:color w:val="auto"/>
        </w:rPr>
      </w:pPr>
      <w:r>
        <w:rPr>
          <w:rFonts w:ascii="Times New Roman" w:cs="Times New Roman" w:eastAsia="Times New Roman" w:hAnsi="Times New Roman"/>
          <w:sz w:val="14"/>
          <w:szCs w:val="14"/>
          <w:color w:val="auto"/>
        </w:rPr>
        <w:t>As a result, you may not be able to sell your shares of our common stock at or above the exercise price at which you purchase them. In addition, the stock market in general, and the market for life science technology companies in particular (including companies in the diagnostic, genomic and biotechnology related sectors), have experienced extreme price and volume fluctuations that have often been unrelated or disproportionate to the operating performance of these companies. Broad market and industry factors may negatively affect the market price of our securities, regardless of our actual operating performance. In the past, securities class action litigation has often been instituted against companies following periods of volatility in the market price of a company’s securities. Because of the volatility of our stock price, we may become the target of securities litigation in the future. This type of litigation, if instituted, could result in substantial costs and a diversion of management’s attention and resources, which would harm our business, operating results or financial condition.</w:t>
      </w:r>
    </w:p>
    <w:p>
      <w:pPr>
        <w:spacing w:after="0" w:line="232" w:lineRule="exact"/>
        <w:rPr>
          <w:sz w:val="20"/>
          <w:szCs w:val="20"/>
          <w:color w:val="auto"/>
        </w:rPr>
      </w:pPr>
    </w:p>
    <w:p>
      <w:pPr>
        <w:jc w:val="both"/>
        <w:ind w:left="1060" w:right="1079"/>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We do not currently intend to pay dividends on our common stock, and any return to investors is expected to come, if at all, only from potential increases in the price of our common stock.</w:t>
      </w:r>
    </w:p>
    <w:p>
      <w:pPr>
        <w:spacing w:after="0" w:line="34"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you should not rely on an investment in our common stock to provide dividend income. We currently intend to retain all of our future earnings, if any, to finance the growth and development of our business and do not anticipate declaring or paying any cash dividends for the foreseeable future. As a result, capital appreciation, if any, of our common stock will be your sole source of gain for the foreseeable future.</w:t>
      </w:r>
    </w:p>
    <w:p>
      <w:pPr>
        <w:spacing w:after="0" w:line="226" w:lineRule="exact"/>
        <w:rPr>
          <w:sz w:val="20"/>
          <w:szCs w:val="20"/>
          <w:color w:val="auto"/>
        </w:rPr>
      </w:pPr>
    </w:p>
    <w:p>
      <w:pPr>
        <w:jc w:val="both"/>
        <w:ind w:left="1060" w:right="1079"/>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actual number of shares of common stock we will issue upon exercise of the Warrants, or the gross proceeds resulting from those issuances.</w:t>
      </w:r>
    </w:p>
    <w:p>
      <w:pPr>
        <w:spacing w:after="0" w:line="34"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number of shares of common stock we issue upon the exercise of the Warrants will depend upon the number of Warrants exercised by the holders thereof. Accordingly, the number of shares of common stock we will issue and the gross proceeds resulting from those issuances will be based on decisions made by others, outside of our control, and it is not currently possible to predict the number of shares that will be issued or the gross proceeds to be raised in connection with those issuances.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3"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If the Warrants are exercised in full, we will receive proceeds of approximately $90 million. However, we do not know when, if or the extent to which such Warrants may be exercised, and it is possible that no Warrants may be exercised, in which case we would not receive any proceeds from this offering.</w:t>
      </w:r>
    </w:p>
    <w:p>
      <w:pPr>
        <w:spacing w:after="0" w:line="137"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We intend to use the net proceeds from this offering, together with our existing cash and cash equivalents and available-for-sale securities, for general corporate purposes, including working capital, research and development expenses, and capital expenditures.</w:t>
      </w:r>
    </w:p>
    <w:p>
      <w:pPr>
        <w:spacing w:after="0" w:line="137" w:lineRule="exact"/>
        <w:rPr>
          <w:sz w:val="20"/>
          <w:szCs w:val="20"/>
          <w:color w:val="auto"/>
        </w:rPr>
      </w:pPr>
    </w:p>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t>The amounts and timing of our use of the net proceeds from this offering will depend on a number of factors, such as the timing and progress of our research and development efforts, the timing and progress of any partnering and commercialization efforts, technological advances and the competitive environment for our products. As of the date of this prospectus, we cannot specify with certainty all of the particular uses for the net proceeds to us from the sale of the securities offered by us hereunder.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13"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DETERMINATION OF OFFERING PRICE</w:t>
      </w:r>
    </w:p>
    <w:p>
      <w:pPr>
        <w:spacing w:after="0" w:line="183"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exercise prices of the Warrants were negotiated between us and the investors in the respective offerings based on the trading of our common stock prior to the offering, among other things. Other factors considered in determining the exercise price of the Warrants that we sold included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13"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3"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currently intend to retain any future earnings for use in the operation of our business and do not intend to declare or pay any cash dividends in the foreseeable future. Any future determination to pay dividends on our capital stock would be at the discretion of our board of directors, subject to applicable laws, and would depend on our financial condition, results of operations, capital requirements, general business conditions and other factors that our board of directors considers relevant.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SECURITIES BEING REGISTERED</w:t>
      </w:r>
    </w:p>
    <w:p>
      <w:pPr>
        <w:spacing w:after="0" w:line="183"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We are offering shares of our common stock that are issuable upon the exercise of outstanding Warrants previously issued by us under our registration statement on Form S-3 (No. 333-270459), which became effective on May 10, 2023, comprising up to:</w:t>
      </w:r>
    </w:p>
    <w:p>
      <w:pPr>
        <w:spacing w:after="0" w:line="51" w:lineRule="exact"/>
        <w:rPr>
          <w:sz w:val="20"/>
          <w:szCs w:val="20"/>
          <w:color w:val="auto"/>
        </w:rPr>
      </w:pPr>
    </w:p>
    <w:p>
      <w:pPr>
        <w:jc w:val="both"/>
        <w:ind w:left="1760" w:right="1079" w:hanging="345"/>
        <w:spacing w:after="0" w:line="27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661,377 shares of common stock issuable upon exercise of outstanding 2025 Purchase Warrants, that were originally issued pursuant to a prospectus dated May 10, 2023 and a related prospectus supplement dated January 3, 2025;</w:t>
      </w:r>
    </w:p>
    <w:p>
      <w:pPr>
        <w:spacing w:after="0" w:line="51"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164,684 shares of common stock issuable upon exercise of outstanding Series C Warrants, that were originally issued pursuant to a prospectus dated May 10, 2023 and a related prospectus supplement dated October 30, 2024;</w:t>
      </w:r>
    </w:p>
    <w:p>
      <w:pPr>
        <w:spacing w:after="0" w:line="51"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145,560 shares of common stock issuable upon exercise of outstanding 2024 Purchase Warrants, that were originally issued pursuant to a prospectus dated May 10, 2023 and a related prospectus supplement dated April 4, 2024; and</w:t>
      </w:r>
    </w:p>
    <w:p>
      <w:pPr>
        <w:spacing w:after="0" w:line="51"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361,011 shares of common stock issuable upon exercise of outstanding 2023 Purchase Warrants, that were originally issued pursuant to a prospectus dated May 10, 2023 and a related prospectus supplement dated October 11, 2023.</w:t>
      </w:r>
    </w:p>
    <w:p>
      <w:pPr>
        <w:spacing w:after="0" w:line="2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8"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following description of our capital stock, certain provisions of our amended and restated certificate of incorporation, as amended (“Certificate of Incorporation”), and amended and restated bylaws, as amended (“Bylaws”), and certain provisions of Delaware law are summaries. The following description is not complete and is subject to and qualified in its entirety by our Certificate of Incorporation and Bylaws, which are filed as exhibits to the registration statement of which this prospectus is a part, as well as the relevant provisions of the General Corporation Law of the State of Delaware.</w:t>
      </w:r>
    </w:p>
    <w:p>
      <w:pPr>
        <w:spacing w:after="0" w:line="315"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As of the date of this prospectus, our Certificate of Incorporation authorized us to issue 400,000,000 shares of common stock, par value $0.0001 per share, and 10,000,000 shares of preferred stock, par value $0.0001 per share.</w:t>
      </w:r>
    </w:p>
    <w:p>
      <w:pPr>
        <w:spacing w:after="0" w:line="2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98"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Holders of our common stock are entitled to one vote for each share held of record on all matters submitted to a vote of the stockholders, including the election of directors, and do not have cumulative voting rights. Our Certificate of Incorporation establishes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2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Economic Rights</w:t>
      </w:r>
    </w:p>
    <w:p>
      <w:pPr>
        <w:spacing w:after="0" w:line="98"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Except as otherwise expressly provided in our Certificate of Incorporation or required by applicable law, all shares of common stock have the same rights and privileges and rank equally, share ratably, and are identical in all respects for all matters, including those described below.</w:t>
      </w:r>
    </w:p>
    <w:p>
      <w:pPr>
        <w:spacing w:after="0" w:line="135" w:lineRule="exact"/>
        <w:rPr>
          <w:sz w:val="20"/>
          <w:szCs w:val="20"/>
          <w:color w:val="auto"/>
        </w:rPr>
      </w:pPr>
    </w:p>
    <w:p>
      <w:pPr>
        <w:jc w:val="both"/>
        <w:ind w:left="1060" w:right="1079"/>
        <w:spacing w:after="0" w:line="274"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preferences that may be applicable to any then-outstanding preferred stock, the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are entitled to receive dividends, if any, as may be declared from time to time by our board of directors out of legally available funds.</w:t>
      </w:r>
    </w:p>
    <w:p>
      <w:pPr>
        <w:spacing w:after="0" w:line="133" w:lineRule="exact"/>
        <w:rPr>
          <w:sz w:val="20"/>
          <w:szCs w:val="20"/>
          <w:color w:val="auto"/>
        </w:rPr>
      </w:pPr>
    </w:p>
    <w:p>
      <w:pPr>
        <w:jc w:val="both"/>
        <w:ind w:left="1060" w:right="1079"/>
        <w:spacing w:after="0" w:line="267" w:lineRule="auto"/>
        <w:rPr>
          <w:sz w:val="20"/>
          <w:szCs w:val="20"/>
          <w:color w:val="auto"/>
        </w:rPr>
      </w:pPr>
      <w:r>
        <w:rPr>
          <w:rFonts w:ascii="Times New Roman" w:cs="Times New Roman" w:eastAsia="Times New Roman" w:hAnsi="Times New Roman"/>
          <w:sz w:val="14"/>
          <w:szCs w:val="14"/>
          <w:i w:val="1"/>
          <w:iCs w:val="1"/>
          <w:color w:val="auto"/>
        </w:rPr>
        <w:t>Liquidation Rights</w:t>
      </w:r>
      <w:r>
        <w:rPr>
          <w:rFonts w:ascii="Times New Roman" w:cs="Times New Roman" w:eastAsia="Times New Roman" w:hAnsi="Times New Roman"/>
          <w:sz w:val="14"/>
          <w:szCs w:val="14"/>
          <w:color w:val="auto"/>
        </w:rPr>
        <w:t>. In the event of our liquidation, dissolution or winding-up, holders of our common stock are entitled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19" w:name="page20"/>
    <w:bookmarkEnd w:id="19"/>
    <w:p>
      <w:pPr>
        <w:ind w:left="1060"/>
        <w:spacing w:after="0"/>
        <w:rPr>
          <w:sz w:val="20"/>
          <w:szCs w:val="20"/>
          <w:color w:val="auto"/>
        </w:rPr>
      </w:pPr>
      <w:r>
        <w:rPr>
          <w:rFonts w:ascii="Times New Roman" w:cs="Times New Roman" w:eastAsia="Times New Roman" w:hAnsi="Times New Roman"/>
          <w:sz w:val="14"/>
          <w:szCs w:val="14"/>
          <w:i w:val="1"/>
          <w:iCs w:val="1"/>
          <w:color w:val="auto"/>
        </w:rPr>
        <w:t>No Preemptive or Similar Rights</w:t>
      </w:r>
    </w:p>
    <w:p>
      <w:pPr>
        <w:spacing w:after="0" w:line="98" w:lineRule="exact"/>
        <w:rPr>
          <w:sz w:val="20"/>
          <w:szCs w:val="20"/>
          <w:color w:val="auto"/>
        </w:rPr>
      </w:pPr>
    </w:p>
    <w:p>
      <w:pPr>
        <w:jc w:val="both"/>
        <w:ind w:left="1060" w:right="1079"/>
        <w:spacing w:after="0" w:line="266" w:lineRule="auto"/>
        <w:rPr>
          <w:sz w:val="20"/>
          <w:szCs w:val="20"/>
          <w:color w:val="auto"/>
        </w:rPr>
      </w:pPr>
      <w:r>
        <w:rPr>
          <w:rFonts w:ascii="Times New Roman" w:cs="Times New Roman" w:eastAsia="Times New Roman" w:hAnsi="Times New Roman"/>
          <w:sz w:val="14"/>
          <w:szCs w:val="14"/>
          <w:color w:val="auto"/>
        </w:rPr>
        <w:t>The holders of our shares of common stock are not entitled to preemptive rights, and such shares are not subject to conversion, redemption or sinking fund provisions. The rights, preferences and privileges of the holders of our common stock are subject to, and may be adversely affected by, the rights of the holders of shares of any series of our preferred stock that we may designate and issue in the future.</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8"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2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98"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The following summary of certain terms and provisions of the Warrants is not complete and is subject to, and qualified in its entirety by, the provisions of the Warrants, the forms of which are filed as exhibits to the registration statement of which this prospectus forms a part. Unless otherwise noted, the terms below apply to all of the Warrants.</w:t>
      </w:r>
    </w:p>
    <w:p>
      <w:pPr>
        <w:spacing w:after="0" w:line="2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Duration and Exercise Price</w:t>
      </w:r>
    </w:p>
    <w:p>
      <w:pPr>
        <w:spacing w:after="0" w:line="98"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Each 2025 Purchase Warrant has an initial exercise price per share equal to $15.120 per share. The 2025 Purchase Warrants became exercisable on June 11, 2025 and will expire on the five-year anniversary of that date.</w:t>
      </w:r>
    </w:p>
    <w:p>
      <w:pPr>
        <w:spacing w:after="0" w:line="124"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Each Series C Warrant has an initial exercise price per share equal to $18.234 per share. The Series C Warrants became exercisable immediately upon issuance on October 31, 2024 and will expire on the five-year anniversary of that date.</w:t>
      </w:r>
    </w:p>
    <w:p>
      <w:pPr>
        <w:spacing w:after="0" w:line="124" w:lineRule="exact"/>
        <w:rPr>
          <w:sz w:val="20"/>
          <w:szCs w:val="20"/>
          <w:color w:val="auto"/>
        </w:rPr>
      </w:pPr>
    </w:p>
    <w:p>
      <w:pPr>
        <w:jc w:val="both"/>
        <w:ind w:left="1060" w:right="1079"/>
        <w:spacing w:after="0" w:line="283" w:lineRule="auto"/>
        <w:rPr>
          <w:sz w:val="20"/>
          <w:szCs w:val="20"/>
          <w:color w:val="auto"/>
        </w:rPr>
      </w:pPr>
      <w:r>
        <w:rPr>
          <w:rFonts w:ascii="Times New Roman" w:cs="Times New Roman" w:eastAsia="Times New Roman" w:hAnsi="Times New Roman"/>
          <w:sz w:val="14"/>
          <w:szCs w:val="14"/>
          <w:color w:val="auto"/>
        </w:rPr>
        <w:t>Each 2024 Purchase Warrant has an initial exercise price per share equal to $61.20 per share. The 2024 Purchase Warrants became exercisable immediately upon issuance on April 8, 2024 and will expire on the five-year anniversary of that date.</w:t>
      </w:r>
    </w:p>
    <w:p>
      <w:pPr>
        <w:spacing w:after="0" w:line="304"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Each 2023 Purchase Warrant has an initial exercise price per share equal to $191.13 per share. The 2023 Purchase Warrants became exercisable immediately upon issuance on October 13, 2023 and will expire on the five-year anniversary of that date.</w:t>
      </w:r>
    </w:p>
    <w:p>
      <w:pPr>
        <w:spacing w:after="0" w:line="137"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For each Warrant, the exercise price and number of shares of our common stock issuable upon exercise are subject to appropriate adjustment in the event of stock dividends, stock splits, recapitalization, reorganizations or similar events affecting our common stock and the exercise price.</w:t>
      </w:r>
    </w:p>
    <w:p>
      <w:pPr>
        <w:spacing w:after="0" w:line="2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Exercisability</w:t>
      </w:r>
    </w:p>
    <w:p>
      <w:pPr>
        <w:spacing w:after="0" w:line="98" w:lineRule="exact"/>
        <w:rPr>
          <w:sz w:val="20"/>
          <w:szCs w:val="20"/>
          <w:color w:val="auto"/>
        </w:rPr>
      </w:pPr>
    </w:p>
    <w:p>
      <w:pPr>
        <w:jc w:val="both"/>
        <w:ind w:left="1060" w:right="1079"/>
        <w:spacing w:after="0" w:line="258" w:lineRule="auto"/>
        <w:rPr>
          <w:sz w:val="20"/>
          <w:szCs w:val="20"/>
          <w:color w:val="auto"/>
        </w:rPr>
      </w:pPr>
      <w:r>
        <w:rPr>
          <w:rFonts w:ascii="Times New Roman" w:cs="Times New Roman" w:eastAsia="Times New Roman" w:hAnsi="Times New Roman"/>
          <w:sz w:val="14"/>
          <w:szCs w:val="14"/>
          <w:color w:val="auto"/>
        </w:rPr>
        <w:t>The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Warrant to the extent that the holder would own more than 4.99% of the outstanding common stock immediately after exercise. For the 2025 Purchase Warrants, the Series C Warrants and the 2024 Purchase Warrants, the holder may instead elect a limit of 9.99% of the outstanding common stock immediately after exercise. Upon at least 61 days’ prior notice from the holder to us, the holder may increase the amount of ownership of outstanding stock after exercising the holder’s Warrants up to 9.99% of the number of shares of our common stock outstanding immediately after giving effect to the exercise, as such percentage ownership is determined in accordance with the terms of the applicable Warrants. No fractional shares of our common stock will be issued in connection with the exercise of a Warrant. In lieu of fractional shares, we will round to the next whole share.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20" w:name="page21"/>
    <w:bookmarkEnd w:id="20"/>
    <w:p>
      <w:pPr>
        <w:ind w:left="1060"/>
        <w:spacing w:after="0"/>
        <w:rPr>
          <w:sz w:val="20"/>
          <w:szCs w:val="20"/>
          <w:color w:val="auto"/>
        </w:rPr>
      </w:pPr>
      <w:r>
        <w:rPr>
          <w:rFonts w:ascii="Times New Roman" w:cs="Times New Roman" w:eastAsia="Times New Roman" w:hAnsi="Times New Roman"/>
          <w:sz w:val="14"/>
          <w:szCs w:val="14"/>
          <w:i w:val="1"/>
          <w:iCs w:val="1"/>
          <w:color w:val="auto"/>
        </w:rPr>
        <w:t>Cashless Exercise</w:t>
      </w:r>
    </w:p>
    <w:p>
      <w:pPr>
        <w:spacing w:after="0" w:line="98" w:lineRule="exact"/>
        <w:rPr>
          <w:sz w:val="20"/>
          <w:szCs w:val="20"/>
          <w:color w:val="auto"/>
        </w:rPr>
      </w:pPr>
    </w:p>
    <w:p>
      <w:pPr>
        <w:jc w:val="both"/>
        <w:ind w:left="1060" w:right="1079"/>
        <w:spacing w:after="0" w:line="259" w:lineRule="auto"/>
        <w:rPr>
          <w:sz w:val="20"/>
          <w:szCs w:val="20"/>
          <w:color w:val="auto"/>
        </w:rPr>
      </w:pPr>
      <w:r>
        <w:rPr>
          <w:rFonts w:ascii="Times New Roman" w:cs="Times New Roman" w:eastAsia="Times New Roman" w:hAnsi="Times New Roman"/>
          <w:sz w:val="14"/>
          <w:szCs w:val="14"/>
          <w:color w:val="auto"/>
        </w:rPr>
        <w:t>If, at the time a holder exercises a 2025 Purchase Warrant, Series C Warrant or 2024 Purchase Warrant, there is no effective registration statement registering the issuance of the shares to be issued upon exercise, or the prospectus contained therein is not available for that issuance, the holder may elect a cashless exercise. If, at the time a holder exercises a 2023 Purchase Warrant, a registration statement registering the issuance or resale of the underlying shares under the Securities Act is not then effective or available, and an exemption from registration under the Securities Act is not available for that issuance or resale, the holder may likewise elect a cashless exercise. In either case, instead of making the cash payment otherwise contemplated to be made to us upon exercise in payment of the aggregate exercise price, the holder may elect to receive the net number of shares of our common stock determined according to a formula set forth in the applicable Warrants.</w:t>
      </w:r>
    </w:p>
    <w:p>
      <w:pPr>
        <w:spacing w:after="0" w:line="2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Transferability</w:t>
      </w:r>
    </w:p>
    <w:p>
      <w:pPr>
        <w:spacing w:after="0" w:line="98"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Subject to applicable laws, a Warrant may be transferred upon notice to us in writing and surrender of the Warrant to us together with the appropriate instruments of transfer.</w:t>
      </w:r>
    </w:p>
    <w:p>
      <w:pPr>
        <w:spacing w:after="0" w:line="2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Exchange Listing</w:t>
      </w:r>
    </w:p>
    <w:p>
      <w:pPr>
        <w:spacing w:after="0" w:line="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Warrants are not listed on any securities exchange or nationally recognized trading system.</w:t>
      </w:r>
    </w:p>
    <w:p>
      <w:pPr>
        <w:spacing w:after="0" w:line="2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Rights as a Stockholder</w:t>
      </w:r>
    </w:p>
    <w:p>
      <w:pPr>
        <w:spacing w:after="0" w:line="98"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Except as otherwise provided in the Warrants or by virtue of such holder’s ownership of shares of our common stock, the holders of the Warrants do not have the rights or privileges of holders of our common stock, including any voting rights, until they exercise their Warrants.</w:t>
      </w:r>
    </w:p>
    <w:p>
      <w:pPr>
        <w:spacing w:after="0" w:line="2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Fundamental Transaction</w:t>
      </w:r>
    </w:p>
    <w:p>
      <w:pPr>
        <w:spacing w:after="0" w:line="98" w:lineRule="exact"/>
        <w:rPr>
          <w:sz w:val="20"/>
          <w:szCs w:val="20"/>
          <w:color w:val="auto"/>
        </w:rPr>
      </w:pPr>
    </w:p>
    <w:p>
      <w:pPr>
        <w:jc w:val="both"/>
        <w:ind w:left="1060" w:right="1079"/>
        <w:spacing w:after="0" w:line="257" w:lineRule="auto"/>
        <w:rPr>
          <w:sz w:val="20"/>
          <w:szCs w:val="20"/>
          <w:color w:val="auto"/>
        </w:rPr>
      </w:pPr>
      <w:r>
        <w:rPr>
          <w:rFonts w:ascii="Times New Roman" w:cs="Times New Roman" w:eastAsia="Times New Roman" w:hAnsi="Times New Roman"/>
          <w:sz w:val="14"/>
          <w:szCs w:val="14"/>
          <w:color w:val="auto"/>
        </w:rPr>
        <w:t>In the event of a fundamental transaction, as described in the applicable form of Warrant, and generally including any reorganization, recapitalization or reclassification of our common stock, the sale, transfer or other disposition of all or substantially all of our properties or assets, our consolidation or merger with or into another person, the acquisition of greater than 50% of our outstanding common stock, or any person or group becoming the beneficial owner of greater than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 As an alternative, in the event of a fundamental transaction, the holder of a Warrant, at its option, exercisable at any time concurrently with, or within 30 days after, the consummation of a fundamental transaction (or, if later, the date of the public announcement of the applicable fundamental transaction), may cause the Company to purchase the unexercised portion of the Warrants from the holder by paying to the holder an amount in cash equal to the Black Scholes Value (as defined in the applicable Warrant) of the remaining unexercised portion of such Warrants on the date of the consummation of such fundamental transaction. The 2023 Purchase Warrants do not include this repurchase right.</w:t>
      </w:r>
    </w:p>
    <w:p>
      <w:pPr>
        <w:spacing w:after="0" w:line="23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8" w:lineRule="exact"/>
        <w:rPr>
          <w:sz w:val="20"/>
          <w:szCs w:val="20"/>
          <w:color w:val="auto"/>
        </w:rPr>
      </w:pPr>
    </w:p>
    <w:p>
      <w:pPr>
        <w:jc w:val="both"/>
        <w:ind w:left="1060" w:right="1079"/>
        <w:spacing w:after="0" w:line="261" w:lineRule="auto"/>
        <w:rPr>
          <w:sz w:val="20"/>
          <w:szCs w:val="20"/>
          <w:color w:val="auto"/>
        </w:rPr>
      </w:pPr>
      <w:r>
        <w:rPr>
          <w:rFonts w:ascii="Times New Roman" w:cs="Times New Roman" w:eastAsia="Times New Roman" w:hAnsi="Times New Roman"/>
          <w:sz w:val="14"/>
          <w:szCs w:val="14"/>
          <w:color w:val="auto"/>
        </w:rPr>
        <w:t>The provisions of the General Corporation Law of the State of Delaware (“DGCL”), our Certificate of Incorporation and our Bylaws, certain provisions of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21" w:name="page22"/>
    <w:bookmarkEnd w:id="21"/>
    <w:p>
      <w:pPr>
        <w:ind w:left="1060"/>
        <w:spacing w:after="0"/>
        <w:rPr>
          <w:sz w:val="20"/>
          <w:szCs w:val="20"/>
          <w:color w:val="auto"/>
        </w:rPr>
      </w:pPr>
      <w:r>
        <w:rPr>
          <w:rFonts w:ascii="Times New Roman" w:cs="Times New Roman" w:eastAsia="Times New Roman" w:hAnsi="Times New Roman"/>
          <w:sz w:val="14"/>
          <w:szCs w:val="14"/>
          <w:i w:val="1"/>
          <w:iCs w:val="1"/>
          <w:color w:val="auto"/>
        </w:rPr>
        <w:t>Section 203 of the General Corporation Law of the State of Delaware</w:t>
      </w:r>
    </w:p>
    <w:p>
      <w:pPr>
        <w:spacing w:after="0" w:line="98"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We are subject to Section 203 of the DGCL. Section 203 generally prohibits a public Delaware corporation from engaging in a “business combination” with an “interested stockholder” for a period of three years after the date of the transaction in which such person became an interested stockholder, unless:</w:t>
      </w:r>
    </w:p>
    <w:p>
      <w:pPr>
        <w:spacing w:after="0" w:line="51" w:lineRule="exact"/>
        <w:rPr>
          <w:sz w:val="20"/>
          <w:szCs w:val="20"/>
          <w:color w:val="auto"/>
        </w:rPr>
      </w:pPr>
    </w:p>
    <w:p>
      <w:pPr>
        <w:ind w:left="1760" w:right="1079" w:hanging="345"/>
        <w:spacing w:after="0" w:line="290"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date of the transaction, the board of directors of the corporation approved either the business combination or the transaction which resulted in the stockholder becoming an interested stockholder;</w:t>
      </w:r>
    </w:p>
    <w:p>
      <w:pPr>
        <w:spacing w:after="0" w:line="38" w:lineRule="exact"/>
        <w:rPr>
          <w:rFonts w:ascii="Times New Roman" w:cs="Times New Roman" w:eastAsia="Times New Roman" w:hAnsi="Times New Roman"/>
          <w:sz w:val="14"/>
          <w:szCs w:val="14"/>
          <w:color w:val="auto"/>
        </w:rPr>
      </w:pPr>
    </w:p>
    <w:p>
      <w:pPr>
        <w:jc w:val="both"/>
        <w:ind w:left="1760" w:right="1079" w:hanging="345"/>
        <w:spacing w:after="0" w:line="260"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commencement of the transaction, excluding for purposes of determining the number of shares outstanding (but not the outstanding voting stock owned by the interested stockholder)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61"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subsequent to the consummation of the transaction,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4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In general, Section 203 of the DGCL defines a “business combination” to include the following:</w:t>
      </w:r>
    </w:p>
    <w:p>
      <w:pPr>
        <w:spacing w:after="0" w:line="96" w:lineRule="exact"/>
        <w:rPr>
          <w:sz w:val="20"/>
          <w:szCs w:val="20"/>
          <w:color w:val="auto"/>
        </w:rPr>
      </w:pPr>
    </w:p>
    <w:p>
      <w:pPr>
        <w:ind w:left="1760" w:hanging="345"/>
        <w:spacing w:after="0"/>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lease, exchange, mortgage, pledge, transfer or other disposition involving the interested stockholder of 10% or more of the assets of the corporation;</w:t>
      </w:r>
    </w:p>
    <w:p>
      <w:pPr>
        <w:spacing w:after="0" w:line="38"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51"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that results in the issuance or transfer by the corporation of any stock of the corporation to the interested stockholder; and</w:t>
      </w:r>
    </w:p>
    <w:p>
      <w:pPr>
        <w:spacing w:after="0" w:line="38"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4" w:lineRule="exact"/>
        <w:rPr>
          <w:sz w:val="20"/>
          <w:szCs w:val="20"/>
          <w:color w:val="auto"/>
        </w:rPr>
      </w:pPr>
    </w:p>
    <w:p>
      <w:pPr>
        <w:jc w:val="both"/>
        <w:ind w:left="1060" w:right="1079"/>
        <w:spacing w:after="0" w:line="266"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 entity or person who, together with the entity or person’s affiliates and associates, beneficially owns, or is an affiliate or associate of the corporation and within three years prior to the time of determination of interested stockholder status did own, 15% or more of the outstanding voting stock of the corporation and any entity or person affiliated with or controlling or controlled by the entity or person.</w:t>
      </w:r>
    </w:p>
    <w:p>
      <w:pPr>
        <w:spacing w:after="0" w:line="141"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2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Certificate of Incorporation and Bylaws</w:t>
      </w:r>
    </w:p>
    <w:p>
      <w:pPr>
        <w:spacing w:after="0" w:line="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Among other things, our Certificate of Incorporation and Bylaws:</w:t>
      </w:r>
    </w:p>
    <w:p>
      <w:pPr>
        <w:spacing w:after="0" w:line="96" w:lineRule="exact"/>
        <w:rPr>
          <w:sz w:val="20"/>
          <w:szCs w:val="20"/>
          <w:color w:val="auto"/>
        </w:rPr>
      </w:pPr>
    </w:p>
    <w:p>
      <w:pPr>
        <w:ind w:left="1760" w:right="1079" w:hanging="345"/>
        <w:spacing w:after="0" w:line="290" w:lineRule="auto"/>
        <w:tabs>
          <w:tab w:leader="none" w:pos="1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provide stockholders with cumulative voting rights with the result that stockholders holding a plurality of the voting power of our shares of common stock may be able to elect all of our directors;</w:t>
      </w:r>
    </w:p>
    <w:p>
      <w:pPr>
        <w:spacing w:after="0" w:line="38"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stockholder actions to be taken at a duly called meeting of stockholders and not by written consent;</w:t>
      </w:r>
    </w:p>
    <w:p>
      <w:pPr>
        <w:spacing w:after="0" w:line="38"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 special meeting of stockholders may only be called by a majority of our board of directors, the chair of our board of directors or our chief executive officer;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22" w:name="page23"/>
    <w:bookmarkEnd w:id="22"/>
    <w:p>
      <w:pPr>
        <w:ind w:left="1760" w:right="1079" w:hanging="345"/>
        <w:spacing w:after="0" w:line="290" w:lineRule="auto"/>
        <w:tabs>
          <w:tab w:leader="none" w:pos="1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 advance notice procedure for stockholder proposals to be brought before an annual meeting of our stockholders, including proposed nominations of persons for election to our board of directors;</w:t>
      </w:r>
    </w:p>
    <w:p>
      <w:pPr>
        <w:spacing w:after="0" w:line="38"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 our board of directors into three classes with staggered three-year terms;</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adopted by a majority of the authorized number of directors constituting the board of directors;</w:t>
      </w:r>
    </w:p>
    <w:p>
      <w:pPr>
        <w:spacing w:after="0" w:line="38"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board of directors or any individual director may only be removed with cause and the affirmative vote of the holders of at least 66 2/3% of the voting power of all of our then outstanding shares of common stock;</w:t>
      </w:r>
    </w:p>
    <w:p>
      <w:pPr>
        <w:spacing w:after="0" w:line="51"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spacing w:after="0" w:line="51" w:lineRule="exact"/>
        <w:rPr>
          <w:rFonts w:ascii="Times New Roman" w:cs="Times New Roman" w:eastAsia="Times New Roman" w:hAnsi="Times New Roman"/>
          <w:sz w:val="14"/>
          <w:szCs w:val="14"/>
          <w:color w:val="auto"/>
        </w:rPr>
      </w:pPr>
    </w:p>
    <w:p>
      <w:pPr>
        <w:jc w:val="both"/>
        <w:ind w:left="1760" w:right="1079" w:hanging="345"/>
        <w:spacing w:after="0" w:line="259" w:lineRule="auto"/>
        <w:tabs>
          <w:tab w:leader="none" w:pos="1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General Corporation Law of the State of Delaware or our Certificate of Incorporation or Bylaws, or (iv) any action asserting a claim against us or any of our directors or officers or other employees that is governed by the internal affairs doctrine (these choice of forum provisions do not apply to suits brought to enforce a duty or liability created by the Securities Act, the Exchange Act, or any other claim for which the federal courts have exclusive jurisdiction).</w:t>
      </w:r>
    </w:p>
    <w:p>
      <w:pPr>
        <w:spacing w:after="0" w:line="320"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The foregoing provisions make it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or discourage an attempt to obtain control of us by means of a merger, tender offer, proxy contest or otherwise.</w:t>
      </w:r>
    </w:p>
    <w:p>
      <w:pPr>
        <w:spacing w:after="0" w:line="143"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Our transfer agent and registrar for our common stock is Equiniti Trust Company, LLC.</w:t>
      </w:r>
    </w:p>
    <w:p>
      <w:pPr>
        <w:spacing w:after="0" w:line="2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Listing on the Nasdaq Capital Market</w:t>
      </w:r>
    </w:p>
    <w:p>
      <w:pPr>
        <w:spacing w:after="0" w:line="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“BNGO.”</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3"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We are offering 1,332,632 shares of our common stock issuable upon the exercise of currently outstanding Warrants previously issued by us under our registration statement on Form S-3 (No. 333-270459), which became effective on May 10, 2023, and are comprised of up to:</w:t>
      </w:r>
    </w:p>
    <w:p>
      <w:pPr>
        <w:spacing w:after="0" w:line="51" w:lineRule="exact"/>
        <w:rPr>
          <w:sz w:val="20"/>
          <w:szCs w:val="20"/>
          <w:color w:val="auto"/>
        </w:rPr>
      </w:pPr>
    </w:p>
    <w:p>
      <w:pPr>
        <w:ind w:left="1760" w:hanging="345"/>
        <w:spacing w:after="0"/>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661,377 shares of common stock issuable upon exercise of outstanding 2025 Purchase Warrants;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164,684 shares of common stock issuable upon exercise of outstanding Series C Warrants;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145,560 shares of common stock issuable upon exercise of outstanding 2024 Purchase Warrants; and</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361,011 shares of common stock issuable upon exercise of outstanding 2023 Purchase Warrants.</w:t>
      </w:r>
    </w:p>
    <w:p>
      <w:pPr>
        <w:spacing w:after="0" w:line="181"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2025 Purchase Warrants became exercisable on June 11, 2025 and will expire on the five-year anniversary of such date. The Series C Warrants became exercisable on January 15, 2025 and will expire on the five-year anniversary of such date. The 2024 Purchase Warrants were exercisable immediately upon issuance and will expire on the five-year anniversary of the date of issuance. The 2023 Purchase Warrants were exercisable immediately upon issuance and will expire on the five-year anniversary of the date of issuance. See “</w:t>
      </w:r>
      <w:r>
        <w:rPr>
          <w:rFonts w:ascii="Times New Roman" w:cs="Times New Roman" w:eastAsia="Times New Roman" w:hAnsi="Times New Roman"/>
          <w:sz w:val="14"/>
          <w:szCs w:val="14"/>
          <w:i w:val="1"/>
          <w:iCs w:val="1"/>
          <w:color w:val="auto"/>
        </w:rPr>
        <w:t>Description of Securities Being Registered</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The shares of our common stock issuable upon the exercise of the Warrants will not be offered through underwriters, brokers or dealers. We will not pay any compensation in connection with the offering of the shares of our common stock upon exercise of the Warrants.</w:t>
      </w:r>
    </w:p>
    <w:p>
      <w:pPr>
        <w:spacing w:after="0" w:line="137"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Pursuant to the terms of the Warrants, the shares of common stock will be distributed to those Warrant holders who properly exercise their Warrants and deliver payment of the aggregate exercise price, in accordance with the terms of the Warrants.</w:t>
      </w:r>
    </w:p>
    <w:p>
      <w:pPr>
        <w:spacing w:after="0" w:line="137"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Our common stock is listed on the Nasdaq Capital Market and trades under the symbol “BNGO.” The transfer agent of our common stock is Equiniti Trust Company, LLC.</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3"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The validity of the securities being offered hereby and certain other legal matters will be passed upon for us by Troutman Pepper Locke LLP, Charlotte, North Carolina.</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3"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consolidated financial statements of Bionano Genomics, Inc. (the Company) as of December 31, 2025 and 2024 and for each of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83"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does not contain all of the information set forth in the registration statement and the exhibits to the registration statement.</w:t>
      </w:r>
    </w:p>
    <w:p>
      <w:pPr>
        <w:spacing w:after="0" w:line="124" w:lineRule="exact"/>
        <w:rPr>
          <w:sz w:val="20"/>
          <w:szCs w:val="20"/>
          <w:color w:val="auto"/>
        </w:rPr>
      </w:pPr>
    </w:p>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t>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into this prospectus. We have not authorized anyone else to provide you with different information. We are not making an offer of these securities in any jurisdiction where the offer is not permitted. You should assume that the information contained in this prospectus, or any document incorporated by reference in this prospectus, is accurate only as of the date of those respective documents, regardless of the time of delivery of this prospectus or any sale of our securities.</w:t>
      </w:r>
    </w:p>
    <w:p>
      <w:pPr>
        <w:spacing w:after="0" w:line="147"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 xml:space="preserve">We maintain a website at </w:t>
      </w:r>
      <w:r>
        <w:rPr>
          <w:rFonts w:ascii="Times New Roman" w:cs="Times New Roman" w:eastAsia="Times New Roman" w:hAnsi="Times New Roman"/>
          <w:sz w:val="14"/>
          <w:szCs w:val="14"/>
          <w:i w:val="1"/>
          <w:iCs w:val="1"/>
          <w:color w:val="auto"/>
        </w:rPr>
        <w:t>www.bionano.com</w:t>
      </w:r>
      <w:r>
        <w:rPr>
          <w:rFonts w:ascii="Times New Roman" w:cs="Times New Roman" w:eastAsia="Times New Roman" w:hAnsi="Times New Roman"/>
          <w:sz w:val="14"/>
          <w:szCs w:val="14"/>
          <w:color w:val="auto"/>
        </w:rPr>
        <w:t>. You may access our annual reports on Form 10-K, quarterly reports on Form 10-Q, current reports on Form 8-K, including any amendments to those reports, and other information that we file with or furnish to the SEC pursuant to Section 13(a) or 15(d) of the Exchange Act free of charge at our website as soon as reasonably practicable after such material is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3"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it into this prospectus, which means that we can disclose important information to you by referring you to those documents filed separately with the SEC.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documents are incorporated by reference into this document:</w:t>
      </w:r>
    </w:p>
    <w:p>
      <w:pPr>
        <w:spacing w:after="0" w:line="96" w:lineRule="exact"/>
        <w:rPr>
          <w:sz w:val="20"/>
          <w:szCs w:val="20"/>
          <w:color w:val="auto"/>
        </w:rPr>
      </w:pPr>
    </w:p>
    <w:p>
      <w:pPr>
        <w:ind w:left="1760" w:right="1079" w:hanging="345"/>
        <w:spacing w:after="0" w:line="290" w:lineRule="auto"/>
        <w:tabs>
          <w:tab w:leader="none" w:pos="1760" w:val="left"/>
        </w:tabs>
        <w:numPr>
          <w:ilvl w:val="0"/>
          <w:numId w:val="14"/>
        </w:numPr>
        <w:rPr>
          <w:rFonts w:ascii="Times New Roman" w:cs="Times New Roman" w:eastAsia="Times New Roman" w:hAnsi="Times New Roman"/>
          <w:sz w:val="14"/>
          <w:szCs w:val="14"/>
          <w:color w:val="0000FF"/>
        </w:rPr>
      </w:pPr>
      <w:hyperlink r:id="rId46">
        <w:r>
          <w:rPr>
            <w:rFonts w:ascii="Times New Roman" w:cs="Times New Roman" w:eastAsia="Times New Roman" w:hAnsi="Times New Roman"/>
            <w:sz w:val="14"/>
            <w:szCs w:val="14"/>
            <w:color w:val="auto"/>
          </w:rPr>
          <w:t xml:space="preserve">our Annual Report on Form 10-K for the year ended December 31, 2025, filed with the SEC on </w:t>
        </w:r>
        <w:r>
          <w:rPr>
            <w:rFonts w:ascii="Times New Roman" w:cs="Times New Roman" w:eastAsia="Times New Roman" w:hAnsi="Times New Roman"/>
            <w:sz w:val="14"/>
            <w:szCs w:val="14"/>
            <w:u w:val="single" w:color="auto"/>
            <w:color w:val="0000FF"/>
          </w:rPr>
          <w:t>March 23,</w:t>
        </w:r>
      </w:hyperlink>
      <w:r>
        <w:rPr>
          <w:rFonts w:ascii="Times New Roman" w:cs="Times New Roman" w:eastAsia="Times New Roman" w:hAnsi="Times New Roman"/>
          <w:sz w:val="14"/>
          <w:szCs w:val="14"/>
          <w:color w:val="auto"/>
        </w:rPr>
        <w:t xml:space="preserve"> </w:t>
      </w:r>
      <w:hyperlink r:id="rId46">
        <w:r>
          <w:rPr>
            <w:rFonts w:ascii="Times New Roman" w:cs="Times New Roman" w:eastAsia="Times New Roman" w:hAnsi="Times New Roman"/>
            <w:sz w:val="14"/>
            <w:szCs w:val="14"/>
            <w:u w:val="single" w:color="auto"/>
            <w:color w:val="0000FF"/>
          </w:rPr>
          <w:t>2026</w:t>
        </w:r>
        <w:r>
          <w:rPr>
            <w:rFonts w:ascii="Times New Roman" w:cs="Times New Roman" w:eastAsia="Times New Roman" w:hAnsi="Times New Roman"/>
            <w:sz w:val="14"/>
            <w:szCs w:val="14"/>
            <w:color w:val="000000"/>
          </w:rPr>
          <w:t>;</w:t>
        </w:r>
      </w:hyperlink>
    </w:p>
    <w:p>
      <w:pPr>
        <w:spacing w:after="0" w:line="38" w:lineRule="exact"/>
        <w:rPr>
          <w:rFonts w:ascii="Times New Roman" w:cs="Times New Roman" w:eastAsia="Times New Roman" w:hAnsi="Times New Roman"/>
          <w:sz w:val="14"/>
          <w:szCs w:val="14"/>
          <w:color w:val="0000FF"/>
        </w:rPr>
      </w:pPr>
    </w:p>
    <w:p>
      <w:pPr>
        <w:ind w:left="1760" w:right="1079" w:hanging="345"/>
        <w:spacing w:after="0" w:line="290"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2026 and June 30, 2026, filed with the SEC on </w:t>
      </w:r>
      <w:hyperlink r:id="rId47">
        <w:r>
          <w:rPr>
            <w:rFonts w:ascii="Times New Roman" w:cs="Times New Roman" w:eastAsia="Times New Roman" w:hAnsi="Times New Roman"/>
            <w:sz w:val="14"/>
            <w:szCs w:val="14"/>
            <w:u w:val="single" w:color="auto"/>
            <w:color w:val="0000FF"/>
          </w:rPr>
          <w:t>May 13,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8">
        <w:r>
          <w:rPr>
            <w:rFonts w:ascii="Times New Roman" w:cs="Times New Roman" w:eastAsia="Times New Roman" w:hAnsi="Times New Roman"/>
            <w:sz w:val="14"/>
            <w:szCs w:val="14"/>
            <w:u w:val="single" w:color="auto"/>
            <w:color w:val="0000FF"/>
          </w:rPr>
          <w:t>August 10, 2026</w:t>
        </w:r>
      </w:hyperlink>
      <w:r>
        <w:rPr>
          <w:rFonts w:ascii="Times New Roman" w:cs="Times New Roman" w:eastAsia="Times New Roman" w:hAnsi="Times New Roman"/>
          <w:sz w:val="14"/>
          <w:szCs w:val="14"/>
          <w:color w:val="auto"/>
        </w:rPr>
        <w:t>, respectively;</w:t>
      </w:r>
    </w:p>
    <w:p>
      <w:pPr>
        <w:spacing w:after="0" w:line="38"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14"/>
        </w:numPr>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our Current Reports on Form 8-K (other than information furnished rather than filed) filed with the SEC on </w:t>
      </w:r>
      <w:hyperlink r:id="rId49">
        <w:r>
          <w:rPr>
            <w:rFonts w:ascii="Times New Roman" w:cs="Times New Roman" w:eastAsia="Times New Roman" w:hAnsi="Times New Roman"/>
            <w:sz w:val="14"/>
            <w:szCs w:val="14"/>
            <w:u w:val="single" w:color="auto"/>
            <w:color w:val="0000FF"/>
          </w:rPr>
          <w:t>May 6,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hyperlink r:id="rId50">
        <w:r>
          <w:rPr>
            <w:rFonts w:ascii="Times New Roman" w:cs="Times New Roman" w:eastAsia="Times New Roman" w:hAnsi="Times New Roman"/>
            <w:sz w:val="14"/>
            <w:szCs w:val="14"/>
            <w:u w:val="single" w:color="auto"/>
            <w:color w:val="0000FF"/>
          </w:rPr>
          <w:t>May 14,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hyperlink r:id="rId51">
        <w:r>
          <w:rPr>
            <w:rFonts w:ascii="Times New Roman" w:cs="Times New Roman" w:eastAsia="Times New Roman" w:hAnsi="Times New Roman"/>
            <w:sz w:val="14"/>
            <w:szCs w:val="14"/>
            <w:u w:val="single" w:color="auto"/>
            <w:color w:val="0000FF"/>
          </w:rPr>
          <w:t>May 28,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hyperlink r:id="rId52">
        <w:r>
          <w:rPr>
            <w:rFonts w:ascii="Times New Roman" w:cs="Times New Roman" w:eastAsia="Times New Roman" w:hAnsi="Times New Roman"/>
            <w:sz w:val="14"/>
            <w:szCs w:val="14"/>
            <w:u w:val="single" w:color="auto"/>
            <w:color w:val="0000FF"/>
          </w:rPr>
          <w:t xml:space="preserve">June 5, 2026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FF"/>
        </w:rPr>
        <w:t xml:space="preserve"> </w:t>
      </w:r>
      <w:hyperlink r:id="rId53">
        <w:r>
          <w:rPr>
            <w:rFonts w:ascii="Times New Roman" w:cs="Times New Roman" w:eastAsia="Times New Roman" w:hAnsi="Times New Roman"/>
            <w:sz w:val="14"/>
            <w:szCs w:val="14"/>
            <w:u w:val="single" w:color="auto"/>
            <w:color w:val="0000FF"/>
          </w:rPr>
          <w:t xml:space="preserve">June 24, 2026 </w:t>
        </w:r>
      </w:hyperlink>
      <w:r>
        <w:rPr>
          <w:rFonts w:ascii="Times New Roman" w:cs="Times New Roman" w:eastAsia="Times New Roman" w:hAnsi="Times New Roman"/>
          <w:sz w:val="14"/>
          <w:szCs w:val="14"/>
          <w:color w:val="000000"/>
        </w:rPr>
        <w:t>to</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the extent the information in</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such reports is filed and not furnished;</w:t>
      </w:r>
    </w:p>
    <w:p>
      <w:pPr>
        <w:spacing w:after="0" w:line="51" w:lineRule="exact"/>
        <w:rPr>
          <w:rFonts w:ascii="Times New Roman" w:cs="Times New Roman" w:eastAsia="Times New Roman" w:hAnsi="Times New Roman"/>
          <w:sz w:val="14"/>
          <w:szCs w:val="14"/>
          <w:color w:val="0000FF"/>
        </w:rPr>
      </w:pPr>
    </w:p>
    <w:p>
      <w:pPr>
        <w:jc w:val="both"/>
        <w:ind w:left="1760" w:right="1079" w:hanging="345"/>
        <w:spacing w:after="0" w:line="272"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Schedule 14A, filed with the SEC on </w:t>
      </w:r>
      <w:hyperlink r:id="rId54">
        <w:r>
          <w:rPr>
            <w:rFonts w:ascii="Times New Roman" w:cs="Times New Roman" w:eastAsia="Times New Roman" w:hAnsi="Times New Roman"/>
            <w:sz w:val="14"/>
            <w:szCs w:val="14"/>
            <w:u w:val="single" w:color="auto"/>
            <w:color w:val="0000FF"/>
          </w:rPr>
          <w:t>April 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(solely those portions that were incorporated by reference into Part III of our Annual Report on Form 10-K for the fiscal year ended December 31, 2025); and</w:t>
      </w:r>
    </w:p>
    <w:p>
      <w:pPr>
        <w:spacing w:after="0" w:line="51"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Form 8-A/A, filed with the SEC on </w:t>
      </w:r>
      <w:hyperlink r:id="rId55">
        <w:r>
          <w:rPr>
            <w:rFonts w:ascii="Times New Roman" w:cs="Times New Roman" w:eastAsia="Times New Roman" w:hAnsi="Times New Roman"/>
            <w:sz w:val="14"/>
            <w:szCs w:val="14"/>
            <w:u w:val="single" w:color="auto"/>
            <w:color w:val="0000FF"/>
          </w:rPr>
          <w:t>August 17, 2018</w:t>
        </w:r>
      </w:hyperlink>
      <w:r>
        <w:rPr>
          <w:rFonts w:ascii="Times New Roman" w:cs="Times New Roman" w:eastAsia="Times New Roman" w:hAnsi="Times New Roman"/>
          <w:sz w:val="14"/>
          <w:szCs w:val="14"/>
          <w:color w:val="auto"/>
        </w:rPr>
        <w:t xml:space="preserve">, including all amendments and reports filed for the purpose of updating such description, including </w:t>
      </w:r>
      <w:hyperlink r:id="rId56">
        <w:r>
          <w:rPr>
            <w:rFonts w:ascii="Times New Roman" w:cs="Times New Roman" w:eastAsia="Times New Roman" w:hAnsi="Times New Roman"/>
            <w:sz w:val="14"/>
            <w:szCs w:val="14"/>
            <w:u w:val="single" w:color="auto"/>
            <w:color w:val="0000FF"/>
          </w:rPr>
          <w:t>Exhibit 4.5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the Annual Report on Form 10-K for the year ended December 31, 2023, filed with the SEC on </w:t>
      </w:r>
      <w:hyperlink r:id="rId57">
        <w:r>
          <w:rPr>
            <w:rFonts w:ascii="Times New Roman" w:cs="Times New Roman" w:eastAsia="Times New Roman" w:hAnsi="Times New Roman"/>
            <w:sz w:val="14"/>
            <w:szCs w:val="14"/>
            <w:u w:val="single" w:color="auto"/>
            <w:color w:val="0000FF"/>
          </w:rPr>
          <w:t>March 5, 2024</w:t>
        </w:r>
      </w:hyperlink>
      <w:r>
        <w:rPr>
          <w:rFonts w:ascii="Times New Roman" w:cs="Times New Roman" w:eastAsia="Times New Roman" w:hAnsi="Times New Roman"/>
          <w:sz w:val="14"/>
          <w:szCs w:val="14"/>
          <w:color w:val="auto"/>
        </w:rPr>
        <w:t>.</w:t>
      </w:r>
    </w:p>
    <w:p>
      <w:pPr>
        <w:spacing w:after="0" w:line="141" w:lineRule="exact"/>
        <w:rPr>
          <w:rFonts w:ascii="Times New Roman" w:cs="Times New Roman" w:eastAsia="Times New Roman" w:hAnsi="Times New Roman"/>
          <w:sz w:val="14"/>
          <w:szCs w:val="14"/>
          <w:color w:val="auto"/>
        </w:rPr>
      </w:pPr>
    </w:p>
    <w:p>
      <w:pPr>
        <w:jc w:val="both"/>
        <w:ind w:left="1060" w:right="1079"/>
        <w:spacing w:after="0" w:line="266" w:lineRule="auto"/>
        <w:rPr>
          <w:sz w:val="20"/>
          <w:szCs w:val="20"/>
          <w:color w:val="auto"/>
        </w:rPr>
      </w:pPr>
      <w:r>
        <w:rPr>
          <w:rFonts w:ascii="Times New Roman" w:cs="Times New Roman" w:eastAsia="Times New Roman" w:hAnsi="Times New Roman"/>
          <w:sz w:val="14"/>
          <w:szCs w:val="14"/>
          <w:color w:val="auto"/>
        </w:rPr>
        <w:t>All other reports and documents filed by us pursuant to Sections 13(a), 13(c), 14 or 15(d) of the Exchange Act after the date that this registration statement becomes effective and after the date of this prospectus but before the termination of the offering of the securities described in this prospectus (excluding information furnished pursuant to Items 2.02 and 7.01 of Form 8-K) shall be deemed to be incorporated by reference into this prospectus.</w:t>
      </w:r>
    </w:p>
    <w:p>
      <w:pPr>
        <w:spacing w:after="0" w:line="141" w:lineRule="exact"/>
        <w:rPr>
          <w:rFonts w:ascii="Times New Roman" w:cs="Times New Roman" w:eastAsia="Times New Roman" w:hAnsi="Times New Roman"/>
          <w:sz w:val="14"/>
          <w:szCs w:val="14"/>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37" w:lineRule="exact"/>
        <w:rPr>
          <w:rFonts w:ascii="Times New Roman" w:cs="Times New Roman" w:eastAsia="Times New Roman" w:hAnsi="Times New Roman"/>
          <w:sz w:val="14"/>
          <w:szCs w:val="14"/>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 Any statements so modified or superseded shall not be deemed, except as so modified or superseded, to constitute a part of this prospectus.</w:t>
      </w:r>
    </w:p>
    <w:p>
      <w:pPr>
        <w:spacing w:after="0" w:line="144" w:lineRule="exact"/>
        <w:rPr>
          <w:rFonts w:ascii="Times New Roman" w:cs="Times New Roman" w:eastAsia="Times New Roman" w:hAnsi="Times New Roman"/>
          <w:sz w:val="14"/>
          <w:szCs w:val="14"/>
          <w:color w:val="auto"/>
        </w:rPr>
      </w:pPr>
    </w:p>
    <w:p>
      <w:pPr>
        <w:jc w:val="both"/>
        <w:ind w:left="1060" w:right="1079"/>
        <w:spacing w:after="0" w:line="266" w:lineRule="auto"/>
        <w:rPr>
          <w:sz w:val="20"/>
          <w:szCs w:val="20"/>
          <w:color w:val="auto"/>
        </w:rPr>
      </w:pPr>
      <w:r>
        <w:rPr>
          <w:rFonts w:ascii="Times New Roman" w:cs="Times New Roman" w:eastAsia="Times New Roman" w:hAnsi="Times New Roman"/>
          <w:sz w:val="14"/>
          <w:szCs w:val="14"/>
          <w:color w:val="auto"/>
        </w:rPr>
        <w:t xml:space="preserve">You can obtain any of the filings incorporated by reference into this prospectus through us or from the SEC through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We will furnish without charge to you, upon written or oral request, a copy of any or all of the documents incorporated by reference, including exhibits to these documents by writing or telephoning us at the following address:</w:t>
      </w:r>
    </w:p>
    <w:p>
      <w:pPr>
        <w:spacing w:after="0" w:line="14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Bionano Genomics, Inc.</w:t>
      </w:r>
    </w:p>
    <w:p>
      <w:pPr>
        <w:spacing w:after="0" w:line="2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9540 Towne Centre Drive, Suite 100</w:t>
      </w:r>
    </w:p>
    <w:p>
      <w:pPr>
        <w:spacing w:after="0" w:line="10"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San Diego, California 92121</w:t>
      </w:r>
    </w:p>
    <w:p>
      <w:pPr>
        <w:spacing w:after="0" w:line="10"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(858) 888-7600</w:t>
      </w:r>
    </w:p>
    <w:p>
      <w:pPr>
        <w:spacing w:after="0" w:line="167" w:lineRule="exact"/>
        <w:rPr>
          <w:rFonts w:ascii="Times New Roman" w:cs="Times New Roman" w:eastAsia="Times New Roman" w:hAnsi="Times New Roman"/>
          <w:sz w:val="14"/>
          <w:szCs w:val="14"/>
          <w:color w:val="auto"/>
        </w:rPr>
      </w:pPr>
    </w:p>
    <w:p>
      <w:pPr>
        <w:jc w:val="both"/>
        <w:ind w:left="1060" w:right="1079"/>
        <w:spacing w:after="0" w:line="266"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We have not authorized anyone else to provide different or additional information on our behalf. An offer of these securities is not being made in any jurisdiction where the offer or sale is not permitted. You should not assume that the information in this prospectus is accurate as of any date other than the date of those respective documents.</w:t>
      </w:r>
    </w:p>
    <w:p>
      <w:pPr>
        <w:spacing w:after="0" w:line="14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74930</wp:posOffset>
            </wp:positionH>
            <wp:positionV relativeFrom="paragraph">
              <wp:posOffset>491490</wp:posOffset>
            </wp:positionV>
            <wp:extent cx="557784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1591945</wp:posOffset>
            </wp:positionH>
            <wp:positionV relativeFrom="page">
              <wp:posOffset>672465</wp:posOffset>
            </wp:positionV>
            <wp:extent cx="436435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4364355" cy="20320"/>
                    </a:xfrm>
                    <a:prstGeom prst="rect">
                      <a:avLst/>
                    </a:prstGeom>
                    <a:noFill/>
                  </pic:spPr>
                </pic:pic>
              </a:graphicData>
            </a:graphic>
          </wp:anchor>
        </w:drawing>
        <w:drawing>
          <wp:anchor simplePos="0" relativeHeight="251657728" behindDoc="1" locked="0" layoutInCell="0" allowOverlap="1">
            <wp:simplePos x="0" y="0"/>
            <wp:positionH relativeFrom="page">
              <wp:posOffset>1591945</wp:posOffset>
            </wp:positionH>
            <wp:positionV relativeFrom="page">
              <wp:posOffset>713105</wp:posOffset>
            </wp:positionV>
            <wp:extent cx="436435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4364355" cy="6985"/>
                    </a:xfrm>
                    <a:prstGeom prst="rect">
                      <a:avLst/>
                    </a:prstGeom>
                    <a:noFill/>
                  </pic:spPr>
                </pic:pic>
              </a:graphicData>
            </a:graphic>
          </wp:anchor>
        </w:drawing>
        <w:drawing>
          <wp:anchor simplePos="0" relativeHeight="251657728" behindDoc="1" locked="0" layoutInCell="0" allowOverlap="1">
            <wp:simplePos x="0" y="0"/>
            <wp:positionH relativeFrom="page">
              <wp:posOffset>2366010</wp:posOffset>
            </wp:positionH>
            <wp:positionV relativeFrom="page">
              <wp:posOffset>2043430</wp:posOffset>
            </wp:positionV>
            <wp:extent cx="2823845" cy="5772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823845" cy="57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9"/>
          <w:szCs w:val="19"/>
          <w:b w:val="1"/>
          <w:bCs w:val="1"/>
          <w:color w:val="auto"/>
        </w:rPr>
        <w:t>Up to 1,332,632 Shares of Common Stock</w:t>
      </w:r>
    </w:p>
    <w:p>
      <w:pPr>
        <w:spacing w:after="0" w:line="4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Underlying Outstanding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1334770</wp:posOffset>
            </wp:positionV>
            <wp:extent cx="557784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5577840" cy="3873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546100</wp:posOffset>
            </wp:positionV>
            <wp:extent cx="436435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436435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573405</wp:posOffset>
            </wp:positionV>
            <wp:extent cx="436435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4364355"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8"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The following table sets forth the costs and expenses, other than placement agent fees and commissions, payable by us in connection with the sale and distribution of the securities being registered. All of the amounts shown are estimates, except for the SEC registration fee:</w:t>
      </w:r>
    </w:p>
    <w:p>
      <w:pPr>
        <w:sectPr>
          <w:pgSz w:w="11900" w:h="16838" w:orient="portrait"/>
          <w:cols w:equalWidth="0" w:num="1">
            <w:col w:w="9019"/>
          </w:cols>
          <w:pgMar w:left="1440" w:top="1042"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-92075</wp:posOffset>
            </wp:positionV>
            <wp:extent cx="4364355" cy="108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4364355" cy="108585"/>
                    </a:xfrm>
                    <a:prstGeom prst="rect">
                      <a:avLst/>
                    </a:prstGeom>
                    <a:noFill/>
                  </pic:spPr>
                </pic:pic>
              </a:graphicData>
            </a:graphic>
          </wp:anchor>
        </w:drawing>
      </w:r>
    </w:p>
    <w:p>
      <w:pPr>
        <w:spacing w:after="0" w:line="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-100965</wp:posOffset>
            </wp:positionV>
            <wp:extent cx="4364355" cy="1085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4364355" cy="10858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4"/>
          <w:szCs w:val="14"/>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27305</wp:posOffset>
            </wp:positionV>
            <wp:extent cx="4364355" cy="135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4364355" cy="135890"/>
                    </a:xfrm>
                    <a:prstGeom prst="rect">
                      <a:avLst/>
                    </a:prstGeom>
                    <a:noFill/>
                  </pic:spPr>
                </pic:pic>
              </a:graphicData>
            </a:graphic>
          </wp:anchor>
        </w:drawing>
      </w:r>
    </w:p>
    <w:p>
      <w:pPr>
        <w:spacing w:after="0" w:line="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Total expenses</w:t>
      </w:r>
    </w:p>
    <w:p>
      <w:pPr>
        <w:spacing w:after="0" w:line="30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6"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4"/>
          <w:szCs w:val="14"/>
          <w:b w:val="1"/>
          <w:bCs w:val="1"/>
          <w:color w:val="auto"/>
        </w:rPr>
        <w:t>to be paid</w:t>
      </w:r>
    </w:p>
    <w:p>
      <w:pPr>
        <w:spacing w:after="0" w:line="10" w:lineRule="exact"/>
        <w:rPr>
          <w:sz w:val="20"/>
          <w:szCs w:val="20"/>
          <w:color w:val="auto"/>
        </w:rPr>
      </w:pPr>
    </w:p>
    <w:p>
      <w:pPr>
        <w:ind w:left="722" w:hanging="722"/>
        <w:spacing w:after="0"/>
        <w:tabs>
          <w:tab w:leader="none" w:pos="72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 w:lineRule="exact"/>
        <w:rPr>
          <w:rFonts w:ascii="Times New Roman" w:cs="Times New Roman" w:eastAsia="Times New Roman" w:hAnsi="Times New Roman"/>
          <w:sz w:val="14"/>
          <w:szCs w:val="14"/>
          <w:color w:val="auto"/>
        </w:rPr>
      </w:pPr>
    </w:p>
    <w:p>
      <w:pPr>
        <w:ind w:left="46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w:t>
      </w:r>
    </w:p>
    <w:p>
      <w:pPr>
        <w:spacing w:after="0" w:line="10" w:lineRule="exact"/>
        <w:rPr>
          <w:rFonts w:ascii="Times New Roman" w:cs="Times New Roman" w:eastAsia="Times New Roman" w:hAnsi="Times New Roman"/>
          <w:sz w:val="14"/>
          <w:szCs w:val="14"/>
          <w:color w:val="auto"/>
        </w:rPr>
      </w:pPr>
    </w:p>
    <w:p>
      <w:pPr>
        <w:ind w:left="54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9,000</w:t>
      </w:r>
    </w:p>
    <w:p>
      <w:pPr>
        <w:spacing w:after="0" w:line="10" w:lineRule="exact"/>
        <w:rPr>
          <w:rFonts w:ascii="Times New Roman" w:cs="Times New Roman" w:eastAsia="Times New Roman" w:hAnsi="Times New Roman"/>
          <w:sz w:val="14"/>
          <w:szCs w:val="14"/>
          <w:color w:val="auto"/>
        </w:rPr>
      </w:pPr>
    </w:p>
    <w:p>
      <w:pPr>
        <w:ind w:left="54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-433705</wp:posOffset>
            </wp:positionV>
            <wp:extent cx="5702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570230" cy="6985"/>
                    </a:xfrm>
                    <a:prstGeom prst="rect">
                      <a:avLst/>
                    </a:prstGeom>
                    <a:noFill/>
                  </pic:spPr>
                </pic:pic>
              </a:graphicData>
            </a:graphic>
          </wp:anchor>
        </w:drawing>
      </w:r>
    </w:p>
    <w:p>
      <w:pPr>
        <w:spacing w:after="0" w:line="8" w:lineRule="exact"/>
        <w:rPr>
          <w:sz w:val="20"/>
          <w:szCs w:val="20"/>
          <w:color w:val="auto"/>
        </w:rPr>
      </w:pPr>
    </w:p>
    <w:p>
      <w:pPr>
        <w:ind w:left="462" w:hanging="462"/>
        <w:spacing w:after="0"/>
        <w:tabs>
          <w:tab w:leader="none" w:pos="46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-99060</wp:posOffset>
            </wp:positionV>
            <wp:extent cx="5702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570230" cy="6985"/>
                    </a:xfrm>
                    <a:prstGeom prst="rect">
                      <a:avLst/>
                    </a:prstGeom>
                    <a:noFill/>
                  </pic:spPr>
                </pic:pic>
              </a:graphicData>
            </a:graphic>
          </wp:anchor>
        </w:drawing>
      </w:r>
    </w:p>
    <w:p>
      <w:pPr>
        <w:spacing w:after="0" w:line="587" w:lineRule="exact"/>
        <w:rPr>
          <w:sz w:val="20"/>
          <w:szCs w:val="20"/>
          <w:color w:val="auto"/>
        </w:rPr>
      </w:pPr>
    </w:p>
    <w:p>
      <w:pPr>
        <w:sectPr>
          <w:pgSz w:w="11900" w:h="16838" w:orient="portrait"/>
          <w:cols w:equalWidth="0" w:num="2">
            <w:col w:w="6258" w:space="720"/>
            <w:col w:w="2042"/>
          </w:cols>
          <w:pgMar w:left="1440" w:top="1042" w:right="1440" w:bottom="1440" w:gutter="0" w:footer="0" w:header="0"/>
          <w:type w:val="continuous"/>
        </w:sectPr>
      </w:pPr>
    </w:p>
    <w:p>
      <w:pPr>
        <w:jc w:val="both"/>
        <w:ind w:left="1060" w:right="1079"/>
        <w:spacing w:after="0" w:line="256" w:lineRule="auto"/>
        <w:rPr>
          <w:sz w:val="20"/>
          <w:szCs w:val="20"/>
          <w:color w:val="auto"/>
        </w:rPr>
      </w:pPr>
      <w:r>
        <w:rPr>
          <w:rFonts w:ascii="Times New Roman" w:cs="Times New Roman" w:eastAsia="Times New Roman" w:hAnsi="Times New Roman"/>
          <w:sz w:val="14"/>
          <w:szCs w:val="14"/>
          <w:color w:val="auto"/>
        </w:rPr>
        <w:t>We are incorporated under the laws of the State of Delaware. Section 145 of the General Corporation Law of the State of Delaware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are, or are threatened to be made, a party to any threatened, pending or completed action or suit by or in the right of the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57"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as amended, and our amended and restated bylaws provide for the indemnification of our directors and officers to the fullest extent permitted under the General Corporation Law of the State of Delaware. Section 102(b)(7) of the General Corporation Law of the State of Delaware permits a corporation to provide in its certificate of incorporation that a director or officer of the corporation shall not be personally liable to the corporation or its stockholders for monetary damages for breach of fiduciary duties as a director or officer, except for liability for any:</w:t>
      </w:r>
    </w:p>
    <w:p>
      <w:pPr>
        <w:spacing w:after="0" w:line="57" w:lineRule="exact"/>
        <w:rPr>
          <w:sz w:val="20"/>
          <w:szCs w:val="20"/>
          <w:color w:val="auto"/>
        </w:rPr>
      </w:pPr>
    </w:p>
    <w:p>
      <w:pPr>
        <w:ind w:left="1760" w:hanging="345"/>
        <w:spacing w:after="0"/>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from which the director or officer derives an improper personal benefit;</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 or omission not in good faith or that involves intentional misconduct or a knowing violation of law;</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director, unlawful payment of dividends or redemption of shares;</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 of a director’s duty of loyalty to the corporation or its stockholders; or</w:t>
      </w:r>
    </w:p>
    <w:p>
      <w:pPr>
        <w:spacing w:after="0" w:line="95"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officer, action by or in the right of the corporation.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type w:val="continuous"/>
        </w:sectPr>
      </w:pPr>
    </w:p>
    <w:bookmarkStart w:id="28" w:name="page29"/>
    <w:bookmarkEnd w:id="28"/>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Our amended and restated certificate of incorporation, as amended, includes such a provision with respect to our directors. Expenses incurred by any officer or director in defending any such action, suit or proceeding in advance of its final disposition will be paid by us upon delivery to us of an undertaking, by or on behalf of such director or officer, to repay all amounts so advanced if it shall ultimately be determined that such director or officer is not entitled to be indemnified by us.</w:t>
      </w:r>
    </w:p>
    <w:p>
      <w:pPr>
        <w:spacing w:after="0" w:line="144"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Section 174 of the General Corporation Law of the State of Delaware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43" w:lineRule="exact"/>
        <w:rPr>
          <w:sz w:val="20"/>
          <w:szCs w:val="20"/>
          <w:color w:val="auto"/>
        </w:rPr>
      </w:pPr>
    </w:p>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t>As permitted by the General Corporation Law of the State of Delaware, we have entered, and continue to enter, into separate indemnity agreements with each of our directors and executive officers that require us to indemnify such persons against any and all costs and expenses (including attorneys’, witness or other professional fees) actually and reasonably incurred by such persons in connection with any action, suit or proceeding (including derivative actions), whether actual or threatened, to which any such person may be made a party by reason of the fact that such person is or was a director or officer or is or was acting or serving as an officer, director, employee or agent of ours or any of our affiliated enterprises. Under these agreements, we are not required to provide indemnification for certain matters, including:</w:t>
      </w:r>
    </w:p>
    <w:p>
      <w:pPr>
        <w:spacing w:after="0" w:line="233" w:lineRule="exact"/>
        <w:rPr>
          <w:sz w:val="20"/>
          <w:szCs w:val="20"/>
          <w:color w:val="auto"/>
        </w:rPr>
      </w:pPr>
    </w:p>
    <w:p>
      <w:pPr>
        <w:ind w:left="1760" w:hanging="345"/>
        <w:spacing w:after="0"/>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beyond that permitted by the General Corporation Law of the State of Delaware;</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for any proceeding with respect to the unlawful payment of remuneration to the director or officer;</w:t>
      </w:r>
    </w:p>
    <w:p>
      <w:pPr>
        <w:spacing w:after="0" w:line="38"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for certain proceedings involving a final judgment that the director or officer is required to disgorge profits from the purchase or sale of our stock;</w:t>
      </w:r>
    </w:p>
    <w:p>
      <w:pPr>
        <w:spacing w:after="0" w:line="38" w:lineRule="exact"/>
        <w:rPr>
          <w:rFonts w:ascii="Times New Roman" w:cs="Times New Roman" w:eastAsia="Times New Roman" w:hAnsi="Times New Roman"/>
          <w:sz w:val="14"/>
          <w:szCs w:val="14"/>
          <w:color w:val="auto"/>
        </w:rPr>
      </w:pPr>
    </w:p>
    <w:p>
      <w:pPr>
        <w:jc w:val="both"/>
        <w:ind w:left="1760" w:right="1079" w:hanging="345"/>
        <w:spacing w:after="0" w:line="272"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for proceedings involving a final judgment that the director’s or officer’s conduct was in bad faith, knowingly fraudulent or deliberately dishonest or constituted willful misconduct or a breach of his or her duty of loyalty, but only to the extent of such specific determination;</w:t>
      </w:r>
    </w:p>
    <w:p>
      <w:pPr>
        <w:spacing w:after="0" w:line="51" w:lineRule="exact"/>
        <w:rPr>
          <w:rFonts w:ascii="Times New Roman" w:cs="Times New Roman" w:eastAsia="Times New Roman" w:hAnsi="Times New Roman"/>
          <w:sz w:val="14"/>
          <w:szCs w:val="14"/>
          <w:color w:val="auto"/>
        </w:rPr>
      </w:pPr>
    </w:p>
    <w:p>
      <w:pPr>
        <w:jc w:val="both"/>
        <w:ind w:left="1760" w:right="1079" w:hanging="345"/>
        <w:spacing w:after="0" w:line="263"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for proceedings or claims brought by an officer or director against us or any of our directors, officers, employees or agents, except for (1) claims to establish a right of indemnification or proceedings, (2) claims approved by our board of directors, (3) claims required by law, (4) when there has been a change of control as defined in the indemnification agreement with each director or officer, or (5) by us in our sole discretion pursuant to the powers vested to us under the General Corporation Law of the State of Delaware;</w:t>
      </w:r>
    </w:p>
    <w:p>
      <w:pPr>
        <w:spacing w:after="0" w:line="229" w:lineRule="exact"/>
        <w:rPr>
          <w:rFonts w:ascii="Times New Roman" w:cs="Times New Roman" w:eastAsia="Times New Roman" w:hAnsi="Times New Roman"/>
          <w:sz w:val="14"/>
          <w:szCs w:val="14"/>
          <w:color w:val="auto"/>
        </w:rPr>
      </w:pPr>
    </w:p>
    <w:p>
      <w:pPr>
        <w:ind w:left="1760" w:hanging="345"/>
        <w:spacing w:after="0"/>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for settlements the director or officer enters into without our consent; or</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in violation of any undertaking required by the Securities Act or in any registration statement we file.</w:t>
      </w:r>
    </w:p>
    <w:p>
      <w:pPr>
        <w:spacing w:after="0" w:line="124"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The indemnification agreements also set forth certain procedures that will apply in the event of a claim for indemnification thereunder.</w:t>
      </w:r>
    </w:p>
    <w:p>
      <w:pPr>
        <w:spacing w:after="0" w:line="124"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We have an insurance policy in place that covers our officers and directors with respect to certain liabilities, including liabilities arising under the Securities Act or otherwise.</w:t>
      </w:r>
    </w:p>
    <w:p>
      <w:pPr>
        <w:spacing w:after="0" w:line="124"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Pursuant to certain underwriting agreements we may enter, the underwriters are obligated, under some circumstances, to indemnify our directors, officers and controlling persons against specified liabilities, including liabilities under the Securities Act.</w:t>
      </w:r>
    </w:p>
    <w:p>
      <w:pPr>
        <w:spacing w:after="0" w:line="2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8"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The following list sets forth information as to all unregistered securities sold by the Company in the three years preceding the date of this registration statement: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29" w:name="page30"/>
    <w:bookmarkEnd w:id="29"/>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May 2024 Private Placement</w:t>
      </w:r>
    </w:p>
    <w:p>
      <w:pPr>
        <w:spacing w:after="0" w:line="100" w:lineRule="exact"/>
        <w:rPr>
          <w:sz w:val="20"/>
          <w:szCs w:val="20"/>
          <w:color w:val="auto"/>
        </w:rPr>
      </w:pPr>
    </w:p>
    <w:p>
      <w:pPr>
        <w:jc w:val="both"/>
        <w:ind w:left="1060" w:right="1079"/>
        <w:spacing w:after="0" w:line="262" w:lineRule="auto"/>
        <w:rPr>
          <w:sz w:val="20"/>
          <w:szCs w:val="20"/>
          <w:color w:val="auto"/>
        </w:rPr>
      </w:pPr>
      <w:r>
        <w:rPr>
          <w:rFonts w:ascii="Times New Roman" w:cs="Times New Roman" w:eastAsia="Times New Roman" w:hAnsi="Times New Roman"/>
          <w:sz w:val="14"/>
          <w:szCs w:val="14"/>
          <w:color w:val="auto"/>
        </w:rPr>
        <w:t>On May 24, 2024, we entered into a securities purchase agreement (the “May 2024 Purchase Agreement”) with certain accredited investors (the “May 2024 Investors”) and JGB Collateral LLC, as collateral agent, pursuant to which we issued to the May 2024 Investors in a private placement (the “May 2024 Private Placement”): (i) 37,500 shares of our common stock (as adjusted for the reverse stock split) (the “May 2024 Shares”), and (ii) Senior Secured Convertible Debentures in the aggregate principal amount of $20,000,000 (the “May 2024 Debentures”), for an aggregate purchase price of $18,000,000.</w:t>
      </w:r>
    </w:p>
    <w:p>
      <w:pPr>
        <w:spacing w:after="0" w:line="143" w:lineRule="exact"/>
        <w:rPr>
          <w:sz w:val="20"/>
          <w:szCs w:val="20"/>
          <w:color w:val="auto"/>
        </w:rPr>
      </w:pPr>
    </w:p>
    <w:p>
      <w:pPr>
        <w:jc w:val="both"/>
        <w:ind w:left="1060" w:right="1079"/>
        <w:spacing w:after="0" w:line="260" w:lineRule="auto"/>
        <w:rPr>
          <w:sz w:val="20"/>
          <w:szCs w:val="20"/>
          <w:color w:val="auto"/>
        </w:rPr>
      </w:pPr>
      <w:r>
        <w:rPr>
          <w:rFonts w:ascii="Times New Roman" w:cs="Times New Roman" w:eastAsia="Times New Roman" w:hAnsi="Times New Roman"/>
          <w:sz w:val="14"/>
          <w:szCs w:val="14"/>
          <w:color w:val="auto"/>
        </w:rPr>
        <w:t>Canaccord Genuity LLC (“Canaccord”) acted as the exclusive placement agent for the May 2024 Private Placement, which was conducted on a “reasonable best efforts” basis, pursuant to a placement agent agreement (the “Placement Agent Agreement”), dated May 24, 2024, by and between us and Canaccord. Pursuant to the Placement Agent Agreement, we paid Canaccord a cash fee equal to 6.0% of the aggregate face value of the May 2024 Debentures issued in the May 2024 Private Placement. In addition, we agreed to reimburse Canaccord for any out-of-pocket expenses incurred by Canaccord in connection with the May 2024 Private Placement not to exceed $75,000. The May 2024 Private Placement closed on May 24, 2024, and the Company received net proceeds of approximately $16.6 million after payment of placement agent fees, and other offering expenses.</w:t>
      </w:r>
    </w:p>
    <w:p>
      <w:pPr>
        <w:spacing w:after="0" w:line="144"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May 2024 Shares and the May 2024 Debentures were issued in reliance upon Rule 506 of Regulation D promulgated under the Securities Act, as a transaction not requiring registration under the Securities Act and was made without general solicitation or advertising. Pursuant to the May 2024 Purchase Agreement, the May 2024 Investors each represented that it is an accredited investor and that it is acquiring the securities for investment purposes only and not with a view to any resale, distribution or other disposition of such securities in violation of the Securities Act.</w:t>
      </w:r>
    </w:p>
    <w:p>
      <w:pPr>
        <w:spacing w:after="0" w:line="2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July 2024 Private Placement</w:t>
      </w:r>
    </w:p>
    <w:p>
      <w:pPr>
        <w:spacing w:after="0" w:line="100" w:lineRule="exact"/>
        <w:rPr>
          <w:sz w:val="20"/>
          <w:szCs w:val="20"/>
          <w:color w:val="auto"/>
        </w:rPr>
      </w:pPr>
    </w:p>
    <w:p>
      <w:pPr>
        <w:jc w:val="both"/>
        <w:ind w:left="1060" w:right="1079"/>
        <w:spacing w:after="0" w:line="257" w:lineRule="auto"/>
        <w:rPr>
          <w:sz w:val="20"/>
          <w:szCs w:val="20"/>
          <w:color w:val="auto"/>
        </w:rPr>
      </w:pPr>
      <w:r>
        <w:rPr>
          <w:rFonts w:ascii="Times New Roman" w:cs="Times New Roman" w:eastAsia="Times New Roman" w:hAnsi="Times New Roman"/>
          <w:sz w:val="14"/>
          <w:szCs w:val="14"/>
          <w:color w:val="auto"/>
        </w:rPr>
        <w:t>On July 4, 2024, we entered into a securities purchase agreement (the “July 2024 Purchase Agreement”) with certain institutional investors (the “Purchasers”), pursuant to which we issued to the Purchasers: (i) in a registered direct offering priced at-the-market consistent with the rules of the Nasdaq Stock Market, (a) an aggregate of 195,000 shares of our common stock (as adjusted for the reverse stock split) and (b) pre-funded warrants to purchase up to an aggregate of 96,885 shares of our common stock (as adjusted for the reverse stock split); and (ii) in a concurrent private placement, Series A warrants to purchase up to an aggregate of 291,885 shares of our common stock (as adjusted for the reverse stock split) (the “Series A Warrants”) and Series B warrants to purchase up to an aggregate of 291,885 shares of our common stock (as adjusted for the reverse stock split) (the “Series B Warrants”, and together with the Series A Warrants, the “July 2024 Purchase Warrants”). Each share of common stock and each pre-funded warrant sold pursuant to the July 2024 Purchase Agreement was accompanied by one Series A Warrant and one Series B Warrant. The combined purchase price of each share of common stock and accompanying July 2024 Purchase Warrants was $34.260 per share (as adjusted for the reverse stock split). The combined purchase price of each pre-funded warrant and accompanying July 2024 Purchase Warrants was $34.259 (as adjusted for the reverse stock split).</w:t>
      </w:r>
    </w:p>
    <w:p>
      <w:pPr>
        <w:spacing w:after="0" w:line="153"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H.C. Wainwright &amp; Co., LLC (“Wainwright”) acted as the exclusive placement agent for the Company on a “reasonable best efforts” basis in connection with the transactions pursuant to an engagement letter (the “Engagement Letter”), by and between us and Wainwright. Pursuant to the Engagement Letter, the Company paid Wainwright an aggregate cash fee equal to 6.0% of the gross proceeds received in the offering and for certain expenses incurred by Wainwright in connection with the offering.</w:t>
      </w:r>
    </w:p>
    <w:p>
      <w:pPr>
        <w:spacing w:after="0" w:line="144" w:lineRule="exact"/>
        <w:rPr>
          <w:sz w:val="20"/>
          <w:szCs w:val="20"/>
          <w:color w:val="auto"/>
        </w:rPr>
      </w:pPr>
    </w:p>
    <w:p>
      <w:pPr>
        <w:jc w:val="both"/>
        <w:ind w:left="1060" w:right="1079"/>
        <w:spacing w:after="0" w:line="266" w:lineRule="auto"/>
        <w:rPr>
          <w:sz w:val="20"/>
          <w:szCs w:val="20"/>
          <w:color w:val="auto"/>
        </w:rPr>
      </w:pPr>
      <w:r>
        <w:rPr>
          <w:rFonts w:ascii="Times New Roman" w:cs="Times New Roman" w:eastAsia="Times New Roman" w:hAnsi="Times New Roman"/>
          <w:sz w:val="14"/>
          <w:szCs w:val="14"/>
          <w:color w:val="auto"/>
        </w:rPr>
        <w:t>We received gross proceeds of approximately $10.0 million (excluding up to $20.0 million of aggregate gross proceeds that may be received in the future upon the cash exercise of the July 2024 Purchase Warrants), before deducting placement agent fees and other offering expenses payable by the Company. We received net proceeds of $9.3 million after deducting placement agent fees and other offering expenses of $0.7 million payable by us.</w:t>
      </w:r>
    </w:p>
    <w:p>
      <w:pPr>
        <w:spacing w:after="0" w:line="141"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The July 2024 Purchase Warrants were issued in reliance upon an exemption from the registration requirements under the Securities Act afforded by Section 4(a)(2) thereof and/or Rule 506(b) of Regulation D promulgated thereunder.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30" w:name="page31"/>
    <w:bookmarkEnd w:id="30"/>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December 2024 Settlement Agreement and Amendment to Securities Purchase Agreement</w:t>
      </w:r>
    </w:p>
    <w:p>
      <w:pPr>
        <w:spacing w:after="0" w:line="100" w:lineRule="exact"/>
        <w:rPr>
          <w:sz w:val="20"/>
          <w:szCs w:val="20"/>
          <w:color w:val="auto"/>
        </w:rPr>
      </w:pPr>
    </w:p>
    <w:p>
      <w:pPr>
        <w:jc w:val="both"/>
        <w:ind w:left="1060" w:right="1079"/>
        <w:spacing w:after="0" w:line="258" w:lineRule="auto"/>
        <w:rPr>
          <w:sz w:val="20"/>
          <w:szCs w:val="20"/>
          <w:color w:val="auto"/>
        </w:rPr>
      </w:pPr>
      <w:r>
        <w:rPr>
          <w:rFonts w:ascii="Times New Roman" w:cs="Times New Roman" w:eastAsia="Times New Roman" w:hAnsi="Times New Roman"/>
          <w:sz w:val="14"/>
          <w:szCs w:val="14"/>
          <w:color w:val="auto"/>
        </w:rPr>
        <w:t>On December 31, 2024, we entered into a settlement agreement and amendment (the “Amendment”) relating to our outstanding May 2024 Debentures. Pursuant to the Amendment, the conversion price to convert outstanding principal amounts of the May 2024 Debentures to shares of our common stock was adjusted. As a result of this conversion price adjustment, the $15,000,000 outstanding aggregate principal amount of the May 2024 Debentures would be convertible into 925,925 shares of common stock (as adjusted for the reverse stock split), of which 759,259 shares (as adjusted for the reverse stock split) were not previously registered under the Securities Act (the “Unregistered Conversion Shares”). As consideration for the Amendment, we issued the May 2024 Investors 83,333 shares of our common stock (as adjusted for the reverse stock split) (the “New Shares” and, together with the Unregistered Conversion Shares, the “Shares”) and to forbear from issuing a redemption notice under the May 2024 Debentures to the May 2024 Investors prior to July 31, 2025.</w:t>
      </w:r>
    </w:p>
    <w:p>
      <w:pPr>
        <w:spacing w:after="0" w:line="151" w:lineRule="exact"/>
        <w:rPr>
          <w:sz w:val="20"/>
          <w:szCs w:val="20"/>
          <w:color w:val="auto"/>
        </w:rPr>
      </w:pPr>
    </w:p>
    <w:p>
      <w:pPr>
        <w:jc w:val="both"/>
        <w:ind w:left="1060" w:right="1079"/>
        <w:spacing w:after="0" w:line="263" w:lineRule="auto"/>
        <w:rPr>
          <w:sz w:val="20"/>
          <w:szCs w:val="20"/>
          <w:color w:val="auto"/>
        </w:rPr>
      </w:pPr>
      <w:r>
        <w:rPr>
          <w:rFonts w:ascii="Times New Roman" w:cs="Times New Roman" w:eastAsia="Times New Roman" w:hAnsi="Times New Roman"/>
          <w:sz w:val="14"/>
          <w:szCs w:val="14"/>
          <w:color w:val="auto"/>
        </w:rPr>
        <w:t>The Shares were issued in a transaction not involving a public offering under Section 4(a)(2) of the Securities Act as a transaction not requiring registration under the Securities Act and was made without general solicitation or advertising. Pursuant to the Amendment, the May 2024 Investors each represented that it is an accredited investor and that it is acquiring the Shares for investment purposes only and not with a view to any resale, distribution or other disposition of such Shares in violation of the Securities Act.</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31" w:name="page32"/>
    <w:bookmarkEnd w:id="31"/>
    <w:p>
      <w:pPr>
        <w:ind w:left="106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8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Exh</w:t>
      </w:r>
    </w:p>
    <w:p>
      <w:pPr>
        <w:spacing w:after="0" w:line="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ibit</w:t>
      </w:r>
    </w:p>
    <w:p>
      <w:pPr>
        <w:spacing w:after="0" w:line="10" w:lineRule="exact"/>
        <w:rPr>
          <w:sz w:val="20"/>
          <w:szCs w:val="20"/>
          <w:color w:val="auto"/>
        </w:rPr>
      </w:pPr>
    </w:p>
    <w:p>
      <w:pPr>
        <w:ind w:left="1060"/>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No.</w:t>
        <w:tab/>
        <w:t>Description</w:t>
      </w:r>
    </w:p>
    <w:p>
      <w:pPr>
        <w:spacing w:after="0" w:line="10" w:lineRule="exact"/>
        <w:rPr>
          <w:sz w:val="20"/>
          <w:szCs w:val="20"/>
          <w:color w:val="auto"/>
        </w:rPr>
      </w:pPr>
    </w:p>
    <w:p>
      <w:pPr>
        <w:jc w:val="both"/>
        <w:ind w:left="1500" w:right="1159" w:hanging="427"/>
        <w:spacing w:after="0" w:line="262"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3.1</w:t>
      </w:r>
      <w:r>
        <w:rPr>
          <w:sz w:val="20"/>
          <w:szCs w:val="20"/>
          <w:color w:val="auto"/>
        </w:rPr>
        <w:tab/>
      </w:r>
      <w:hyperlink r:id="rId74">
        <w:r>
          <w:rPr>
            <w:rFonts w:ascii="Times New Roman" w:cs="Times New Roman" w:eastAsia="Times New Roman" w:hAnsi="Times New Roman"/>
            <w:sz w:val="14"/>
            <w:szCs w:val="14"/>
            <w:u w:val="single" w:color="auto"/>
            <w:color w:val="0000FF"/>
          </w:rPr>
          <w:t>Amended and Restated Certificate of Incorporation, as amended (incorporated by reference to Exhibit 3.1 to</w:t>
        </w:r>
      </w:hyperlink>
      <w:r>
        <w:rPr>
          <w:rFonts w:ascii="Times New Roman" w:cs="Times New Roman" w:eastAsia="Times New Roman" w:hAnsi="Times New Roman"/>
          <w:sz w:val="14"/>
          <w:szCs w:val="14"/>
          <w:u w:val="single" w:color="auto"/>
          <w:color w:val="0000FF"/>
        </w:rPr>
        <w:t xml:space="preserve"> </w:t>
      </w:r>
      <w:hyperlink r:id="rId74">
        <w:r>
          <w:rPr>
            <w:rFonts w:ascii="Times New Roman" w:cs="Times New Roman" w:eastAsia="Times New Roman" w:hAnsi="Times New Roman"/>
            <w:sz w:val="14"/>
            <w:szCs w:val="14"/>
            <w:u w:val="single" w:color="auto"/>
            <w:color w:val="0000FF"/>
          </w:rPr>
          <w:t>Registrant's Quarterly Report on Form 10-Q, filed with the SEC on November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-222250</wp:posOffset>
            </wp:positionV>
            <wp:extent cx="4364355" cy="224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4364355" cy="224155"/>
                    </a:xfrm>
                    <a:prstGeom prst="rect">
                      <a:avLst/>
                    </a:prstGeom>
                    <a:noFill/>
                  </pic:spPr>
                </pic:pic>
              </a:graphicData>
            </a:graphic>
          </wp:anchor>
        </w:drawing>
      </w:r>
    </w:p>
    <w:p>
      <w:pPr>
        <w:jc w:val="both"/>
        <w:ind w:left="1500" w:right="1159" w:hanging="427"/>
        <w:spacing w:after="0" w:line="269"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3.2</w:t>
      </w:r>
      <w:r>
        <w:rPr>
          <w:sz w:val="20"/>
          <w:szCs w:val="20"/>
          <w:color w:val="auto"/>
        </w:rPr>
        <w:tab/>
      </w:r>
      <w:hyperlink r:id="rId76">
        <w:r>
          <w:rPr>
            <w:rFonts w:ascii="Times New Roman" w:cs="Times New Roman" w:eastAsia="Times New Roman" w:hAnsi="Times New Roman"/>
            <w:sz w:val="14"/>
            <w:szCs w:val="14"/>
            <w:u w:val="single" w:color="auto"/>
            <w:color w:val="0000FF"/>
          </w:rPr>
          <w:t>Certificate of Amendment to the Amended and Restated Certificate of Incorporation, as amended (incorporated</w:t>
        </w:r>
      </w:hyperlink>
      <w:r>
        <w:rPr>
          <w:rFonts w:ascii="Times New Roman" w:cs="Times New Roman" w:eastAsia="Times New Roman" w:hAnsi="Times New Roman"/>
          <w:sz w:val="14"/>
          <w:szCs w:val="14"/>
          <w:u w:val="single" w:color="auto"/>
          <w:color w:val="0000FF"/>
        </w:rPr>
        <w:t xml:space="preserve"> </w:t>
      </w:r>
      <w:hyperlink r:id="rId76">
        <w:r>
          <w:rPr>
            <w:rFonts w:ascii="Times New Roman" w:cs="Times New Roman" w:eastAsia="Times New Roman" w:hAnsi="Times New Roman"/>
            <w:sz w:val="14"/>
            <w:szCs w:val="14"/>
            <w:u w:val="single" w:color="auto"/>
            <w:color w:val="0000FF"/>
          </w:rPr>
          <w:t>by reference to Exhibit 3.1 to Registrant’s Current Report on Form 8-K, filed with the SEC on January 27,</w:t>
        </w:r>
      </w:hyperlink>
      <w:r>
        <w:rPr>
          <w:rFonts w:ascii="Times New Roman" w:cs="Times New Roman" w:eastAsia="Times New Roman" w:hAnsi="Times New Roman"/>
          <w:sz w:val="14"/>
          <w:szCs w:val="14"/>
          <w:u w:val="single" w:color="auto"/>
          <w:color w:val="0000FF"/>
        </w:rPr>
        <w:t xml:space="preserve"> </w:t>
      </w:r>
      <w:hyperlink r:id="rId76">
        <w:r>
          <w:rPr>
            <w:rFonts w:ascii="Times New Roman" w:cs="Times New Roman" w:eastAsia="Times New Roman" w:hAnsi="Times New Roman"/>
            <w:sz w:val="14"/>
            <w:szCs w:val="14"/>
            <w:u w:val="single" w:color="auto"/>
            <w:color w:val="0000FF"/>
          </w:rPr>
          <w:t>2025).</w:t>
        </w:r>
      </w:hyperlink>
    </w:p>
    <w:p>
      <w:pPr>
        <w:spacing w:after="0" w:line="152" w:lineRule="exact"/>
        <w:rPr>
          <w:rFonts w:ascii="Times New Roman" w:cs="Times New Roman" w:eastAsia="Times New Roman" w:hAnsi="Times New Roman"/>
          <w:sz w:val="14"/>
          <w:szCs w:val="14"/>
          <w:u w:val="single" w:color="auto"/>
          <w:color w:val="0000FF"/>
        </w:rPr>
      </w:pP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3.3</w:t>
      </w:r>
      <w:r>
        <w:rPr>
          <w:sz w:val="20"/>
          <w:szCs w:val="20"/>
          <w:color w:val="auto"/>
        </w:rPr>
        <w:tab/>
      </w:r>
      <w:hyperlink r:id="rId77">
        <w:r>
          <w:rPr>
            <w:rFonts w:ascii="Times New Roman" w:cs="Times New Roman" w:eastAsia="Times New Roman" w:hAnsi="Times New Roman"/>
            <w:sz w:val="14"/>
            <w:szCs w:val="14"/>
            <w:u w:val="single" w:color="auto"/>
            <w:color w:val="0000FF"/>
          </w:rPr>
          <w:t>Amended and Restated Bylaws (incorporated by reference to Exhibit 3.2 to the Registrant’s Current Report on</w:t>
        </w:r>
      </w:hyperlink>
      <w:r>
        <w:rPr>
          <w:rFonts w:ascii="Times New Roman" w:cs="Times New Roman" w:eastAsia="Times New Roman" w:hAnsi="Times New Roman"/>
          <w:sz w:val="14"/>
          <w:szCs w:val="14"/>
          <w:u w:val="single" w:color="auto"/>
          <w:color w:val="0000FF"/>
        </w:rPr>
        <w:t xml:space="preserve"> </w:t>
      </w:r>
      <w:hyperlink r:id="rId77">
        <w:r>
          <w:rPr>
            <w:rFonts w:ascii="Times New Roman" w:cs="Times New Roman" w:eastAsia="Times New Roman" w:hAnsi="Times New Roman"/>
            <w:sz w:val="14"/>
            <w:szCs w:val="14"/>
            <w:u w:val="single" w:color="auto"/>
            <w:color w:val="0000FF"/>
          </w:rPr>
          <w:t>Form 8-K, filed with the SEC on August 24,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-215265</wp:posOffset>
            </wp:positionV>
            <wp:extent cx="4364355" cy="2171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4364355" cy="217170"/>
                    </a:xfrm>
                    <a:prstGeom prst="rect">
                      <a:avLst/>
                    </a:prstGeom>
                    <a:noFill/>
                  </pic:spPr>
                </pic:pic>
              </a:graphicData>
            </a:graphic>
          </wp:anchor>
        </w:drawing>
      </w: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3.4</w:t>
      </w:r>
      <w:r>
        <w:rPr>
          <w:sz w:val="20"/>
          <w:szCs w:val="20"/>
          <w:color w:val="auto"/>
        </w:rPr>
        <w:tab/>
      </w:r>
      <w:hyperlink r:id="rId79">
        <w:r>
          <w:rPr>
            <w:rFonts w:ascii="Times New Roman" w:cs="Times New Roman" w:eastAsia="Times New Roman" w:hAnsi="Times New Roman"/>
            <w:sz w:val="14"/>
            <w:szCs w:val="14"/>
            <w:u w:val="single" w:color="auto"/>
            <w:color w:val="0000FF"/>
          </w:rPr>
          <w:t>Amendment to Amended and Restated Bylaws (incorporated by reference to Exhibit 3.2 to the Registrant’s</w:t>
        </w:r>
      </w:hyperlink>
      <w:r>
        <w:rPr>
          <w:rFonts w:ascii="Times New Roman" w:cs="Times New Roman" w:eastAsia="Times New Roman" w:hAnsi="Times New Roman"/>
          <w:sz w:val="14"/>
          <w:szCs w:val="14"/>
          <w:u w:val="single" w:color="auto"/>
          <w:color w:val="0000FF"/>
        </w:rPr>
        <w:t xml:space="preserve"> </w:t>
      </w:r>
      <w:hyperlink r:id="rId79">
        <w:r>
          <w:rPr>
            <w:rFonts w:ascii="Times New Roman" w:cs="Times New Roman" w:eastAsia="Times New Roman" w:hAnsi="Times New Roman"/>
            <w:sz w:val="14"/>
            <w:szCs w:val="14"/>
            <w:u w:val="single" w:color="auto"/>
            <w:color w:val="0000FF"/>
          </w:rPr>
          <w:t>Current Report on Form 8-K, filed with the SEC on April 14, 2023).</w:t>
        </w:r>
      </w:hyperlink>
    </w:p>
    <w:p>
      <w:pPr>
        <w:spacing w:after="0" w:line="1" w:lineRule="exact"/>
        <w:rPr>
          <w:sz w:val="20"/>
          <w:szCs w:val="20"/>
          <w:color w:val="auto"/>
        </w:rPr>
      </w:pP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80">
        <w:r>
          <w:rPr>
            <w:rFonts w:ascii="Times New Roman" w:cs="Times New Roman" w:eastAsia="Times New Roman" w:hAnsi="Times New Roman"/>
            <w:sz w:val="14"/>
            <w:szCs w:val="14"/>
            <w:u w:val="single" w:color="auto"/>
            <w:color w:val="0000FF"/>
          </w:rPr>
          <w:t>Form of Common Stock Certificate (incorporated by reference to Exhibit 4.1 to the Registrant’s Registration</w:t>
        </w:r>
      </w:hyperlink>
      <w:r>
        <w:rPr>
          <w:rFonts w:ascii="Times New Roman" w:cs="Times New Roman" w:eastAsia="Times New Roman" w:hAnsi="Times New Roman"/>
          <w:sz w:val="14"/>
          <w:szCs w:val="14"/>
          <w:u w:val="single" w:color="auto"/>
          <w:color w:val="0000FF"/>
        </w:rPr>
        <w:t xml:space="preserve"> </w:t>
      </w:r>
      <w:hyperlink r:id="rId80">
        <w:r>
          <w:rPr>
            <w:rFonts w:ascii="Times New Roman" w:cs="Times New Roman" w:eastAsia="Times New Roman" w:hAnsi="Times New Roman"/>
            <w:sz w:val="14"/>
            <w:szCs w:val="14"/>
            <w:u w:val="single" w:color="auto"/>
            <w:color w:val="0000FF"/>
          </w:rPr>
          <w:t>Statement on Form S-1 (File No. 333-225970), as amended, originally filed with the SEC on June 28,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-215265</wp:posOffset>
            </wp:positionV>
            <wp:extent cx="4364355" cy="2171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4364355" cy="217170"/>
                    </a:xfrm>
                    <a:prstGeom prst="rect">
                      <a:avLst/>
                    </a:prstGeom>
                    <a:noFill/>
                  </pic:spPr>
                </pic:pic>
              </a:graphicData>
            </a:graphic>
          </wp:anchor>
        </w:drawing>
      </w: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w:t>
      </w:r>
      <w:r>
        <w:rPr>
          <w:sz w:val="20"/>
          <w:szCs w:val="20"/>
          <w:color w:val="auto"/>
        </w:rPr>
        <w:tab/>
      </w:r>
      <w:hyperlink r:id="rId82">
        <w:r>
          <w:rPr>
            <w:rFonts w:ascii="Times New Roman" w:cs="Times New Roman" w:eastAsia="Times New Roman" w:hAnsi="Times New Roman"/>
            <w:sz w:val="14"/>
            <w:szCs w:val="14"/>
            <w:u w:val="single" w:color="auto"/>
            <w:color w:val="0000FF"/>
          </w:rPr>
          <w:t>Form of Warrant to Purchase Series D-1 Preferred Stock issued to Midcap Financial Trust (incorporated by</w:t>
        </w:r>
      </w:hyperlink>
      <w:r>
        <w:rPr>
          <w:rFonts w:ascii="Times New Roman" w:cs="Times New Roman" w:eastAsia="Times New Roman" w:hAnsi="Times New Roman"/>
          <w:sz w:val="14"/>
          <w:szCs w:val="14"/>
          <w:u w:val="single" w:color="auto"/>
          <w:color w:val="0000FF"/>
        </w:rPr>
        <w:t xml:space="preserve"> </w:t>
      </w:r>
      <w:hyperlink r:id="rId82">
        <w:r>
          <w:rPr>
            <w:rFonts w:ascii="Times New Roman" w:cs="Times New Roman" w:eastAsia="Times New Roman" w:hAnsi="Times New Roman"/>
            <w:sz w:val="14"/>
            <w:szCs w:val="14"/>
            <w:u w:val="single" w:color="auto"/>
            <w:color w:val="0000FF"/>
          </w:rPr>
          <w:t>reference to Exhibit 4.8 to the Registrant’s Registration Statement on Form S-1 (File No. 333-225970), as</w:t>
        </w:r>
      </w:hyperlink>
      <w:r>
        <w:rPr>
          <w:rFonts w:ascii="Times New Roman" w:cs="Times New Roman" w:eastAsia="Times New Roman" w:hAnsi="Times New Roman"/>
          <w:sz w:val="14"/>
          <w:szCs w:val="14"/>
          <w:u w:val="single" w:color="auto"/>
          <w:color w:val="0000FF"/>
        </w:rPr>
        <w:t xml:space="preserve"> </w:t>
      </w:r>
      <w:hyperlink r:id="rId82">
        <w:r>
          <w:rPr>
            <w:rFonts w:ascii="Times New Roman" w:cs="Times New Roman" w:eastAsia="Times New Roman" w:hAnsi="Times New Roman"/>
            <w:sz w:val="14"/>
            <w:szCs w:val="14"/>
            <w:u w:val="single" w:color="auto"/>
            <w:color w:val="0000FF"/>
          </w:rPr>
          <w:t>amended, originally filed with the SEC on June 28, 2018).</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4.3</w:t>
      </w:r>
      <w:r>
        <w:rPr>
          <w:sz w:val="20"/>
          <w:szCs w:val="20"/>
          <w:color w:val="auto"/>
        </w:rPr>
        <w:tab/>
      </w:r>
      <w:hyperlink r:id="rId83">
        <w:r>
          <w:rPr>
            <w:rFonts w:ascii="Times New Roman" w:cs="Times New Roman" w:eastAsia="Times New Roman" w:hAnsi="Times New Roman"/>
            <w:sz w:val="14"/>
            <w:szCs w:val="14"/>
            <w:u w:val="single" w:color="auto"/>
            <w:color w:val="0000FF"/>
          </w:rPr>
          <w:t>Form of Warrant to Purchase Common Stock issued to Purchaser in October 2023 Offering (incorporated by</w:t>
        </w:r>
      </w:hyperlink>
      <w:r>
        <w:rPr>
          <w:rFonts w:ascii="Times New Roman" w:cs="Times New Roman" w:eastAsia="Times New Roman" w:hAnsi="Times New Roman"/>
          <w:sz w:val="14"/>
          <w:szCs w:val="14"/>
          <w:u w:val="single" w:color="auto"/>
          <w:color w:val="0000FF"/>
        </w:rPr>
        <w:t xml:space="preserve"> </w:t>
      </w:r>
      <w:hyperlink r:id="rId83">
        <w:r>
          <w:rPr>
            <w:rFonts w:ascii="Times New Roman" w:cs="Times New Roman" w:eastAsia="Times New Roman" w:hAnsi="Times New Roman"/>
            <w:sz w:val="14"/>
            <w:szCs w:val="14"/>
            <w:u w:val="single" w:color="auto"/>
            <w:color w:val="0000FF"/>
          </w:rPr>
          <w:t>reference to Exhibit 4.2 to the Registrant’s Current Report on Form 8-K, filed with the SEC on October 11,</w:t>
        </w:r>
      </w:hyperlink>
      <w:r>
        <w:rPr>
          <w:rFonts w:ascii="Times New Roman" w:cs="Times New Roman" w:eastAsia="Times New Roman" w:hAnsi="Times New Roman"/>
          <w:sz w:val="14"/>
          <w:szCs w:val="14"/>
          <w:u w:val="single" w:color="auto"/>
          <w:color w:val="0000FF"/>
        </w:rPr>
        <w:t xml:space="preserve"> </w:t>
      </w:r>
      <w:hyperlink r:id="rId83">
        <w:r>
          <w:rPr>
            <w:rFonts w:ascii="Times New Roman" w:cs="Times New Roman" w:eastAsia="Times New Roman" w:hAnsi="Times New Roman"/>
            <w:sz w:val="14"/>
            <w:szCs w:val="14"/>
            <w:u w:val="single" w:color="auto"/>
            <w:color w:val="0000FF"/>
          </w:rPr>
          <w:t>2023).</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4.4</w:t>
      </w:r>
      <w:r>
        <w:rPr>
          <w:sz w:val="20"/>
          <w:szCs w:val="20"/>
          <w:color w:val="auto"/>
        </w:rPr>
        <w:tab/>
      </w:r>
      <w:hyperlink r:id="rId85">
        <w:r>
          <w:rPr>
            <w:rFonts w:ascii="Times New Roman" w:cs="Times New Roman" w:eastAsia="Times New Roman" w:hAnsi="Times New Roman"/>
            <w:sz w:val="14"/>
            <w:szCs w:val="14"/>
            <w:u w:val="single" w:color="auto"/>
            <w:color w:val="0000FF"/>
          </w:rPr>
          <w:t>Form of Warrant to Purchase Common Stock issued to Investors in April 2024 Registered Direct Offering</w:t>
        </w:r>
      </w:hyperlink>
      <w:r>
        <w:rPr>
          <w:rFonts w:ascii="Times New Roman" w:cs="Times New Roman" w:eastAsia="Times New Roman" w:hAnsi="Times New Roman"/>
          <w:sz w:val="14"/>
          <w:szCs w:val="14"/>
          <w:u w:val="single" w:color="auto"/>
          <w:color w:val="0000FF"/>
        </w:rPr>
        <w:t xml:space="preserve"> </w:t>
      </w:r>
      <w:hyperlink r:id="rId85">
        <w:r>
          <w:rPr>
            <w:rFonts w:ascii="Times New Roman" w:cs="Times New Roman" w:eastAsia="Times New Roman" w:hAnsi="Times New Roman"/>
            <w:sz w:val="14"/>
            <w:szCs w:val="14"/>
            <w:u w:val="single" w:color="auto"/>
            <w:color w:val="0000FF"/>
          </w:rPr>
          <w:t>(incorporated by reference to Exhibit 4.1 to the Registrant’s Current Report on Form 8-K, filed with the SEC</w:t>
        </w:r>
      </w:hyperlink>
      <w:r>
        <w:rPr>
          <w:rFonts w:ascii="Times New Roman" w:cs="Times New Roman" w:eastAsia="Times New Roman" w:hAnsi="Times New Roman"/>
          <w:sz w:val="14"/>
          <w:szCs w:val="14"/>
          <w:u w:val="single" w:color="auto"/>
          <w:color w:val="0000FF"/>
        </w:rPr>
        <w:t xml:space="preserve"> </w:t>
      </w:r>
      <w:hyperlink r:id="rId85">
        <w:r>
          <w:rPr>
            <w:rFonts w:ascii="Times New Roman" w:cs="Times New Roman" w:eastAsia="Times New Roman" w:hAnsi="Times New Roman"/>
            <w:sz w:val="14"/>
            <w:szCs w:val="14"/>
            <w:u w:val="single" w:color="auto"/>
            <w:color w:val="0000FF"/>
          </w:rPr>
          <w:t>on April 5, 2024).</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4.5</w:t>
      </w:r>
      <w:r>
        <w:rPr>
          <w:sz w:val="20"/>
          <w:szCs w:val="20"/>
          <w:color w:val="auto"/>
        </w:rPr>
        <w:tab/>
      </w:r>
      <w:hyperlink r:id="rId86">
        <w:r>
          <w:rPr>
            <w:rFonts w:ascii="Times New Roman" w:cs="Times New Roman" w:eastAsia="Times New Roman" w:hAnsi="Times New Roman"/>
            <w:sz w:val="14"/>
            <w:szCs w:val="14"/>
            <w:u w:val="single" w:color="auto"/>
            <w:color w:val="0000FF"/>
          </w:rPr>
          <w:t>Form of Warrant to Purchase Common Stock issued to Investors in April 2024 Registered Direct Offering</w:t>
        </w:r>
      </w:hyperlink>
      <w:r>
        <w:rPr>
          <w:rFonts w:ascii="Times New Roman" w:cs="Times New Roman" w:eastAsia="Times New Roman" w:hAnsi="Times New Roman"/>
          <w:sz w:val="14"/>
          <w:szCs w:val="14"/>
          <w:u w:val="single" w:color="auto"/>
          <w:color w:val="0000FF"/>
        </w:rPr>
        <w:t xml:space="preserve"> </w:t>
      </w:r>
      <w:hyperlink r:id="rId86">
        <w:r>
          <w:rPr>
            <w:rFonts w:ascii="Times New Roman" w:cs="Times New Roman" w:eastAsia="Times New Roman" w:hAnsi="Times New Roman"/>
            <w:sz w:val="14"/>
            <w:szCs w:val="14"/>
            <w:u w:val="single" w:color="auto"/>
            <w:color w:val="0000FF"/>
          </w:rPr>
          <w:t>(incorporated by reference to Exhibit 4.2 to the Registrant’s Current Report on Form 8-K, filed with the SEC</w:t>
        </w:r>
      </w:hyperlink>
      <w:r>
        <w:rPr>
          <w:rFonts w:ascii="Times New Roman" w:cs="Times New Roman" w:eastAsia="Times New Roman" w:hAnsi="Times New Roman"/>
          <w:sz w:val="14"/>
          <w:szCs w:val="14"/>
          <w:u w:val="single" w:color="auto"/>
          <w:color w:val="0000FF"/>
        </w:rPr>
        <w:t xml:space="preserve"> </w:t>
      </w:r>
      <w:hyperlink r:id="rId86">
        <w:r>
          <w:rPr>
            <w:rFonts w:ascii="Times New Roman" w:cs="Times New Roman" w:eastAsia="Times New Roman" w:hAnsi="Times New Roman"/>
            <w:sz w:val="14"/>
            <w:szCs w:val="14"/>
            <w:u w:val="single" w:color="auto"/>
            <w:color w:val="0000FF"/>
          </w:rPr>
          <w:t>on April 5, 2024).</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4.6</w:t>
      </w:r>
      <w:r>
        <w:rPr>
          <w:sz w:val="20"/>
          <w:szCs w:val="20"/>
          <w:color w:val="auto"/>
        </w:rPr>
        <w:tab/>
      </w:r>
      <w:hyperlink r:id="rId88">
        <w:r>
          <w:rPr>
            <w:rFonts w:ascii="Times New Roman" w:cs="Times New Roman" w:eastAsia="Times New Roman" w:hAnsi="Times New Roman"/>
            <w:sz w:val="14"/>
            <w:szCs w:val="14"/>
            <w:u w:val="single" w:color="auto"/>
            <w:color w:val="0000FF"/>
          </w:rPr>
          <w:t>Form of Warrant to Purchase Series A Common Stock issued to Investors in July 2024 Registered Direct</w:t>
        </w:r>
      </w:hyperlink>
      <w:r>
        <w:rPr>
          <w:rFonts w:ascii="Times New Roman" w:cs="Times New Roman" w:eastAsia="Times New Roman" w:hAnsi="Times New Roman"/>
          <w:sz w:val="14"/>
          <w:szCs w:val="14"/>
          <w:u w:val="single" w:color="auto"/>
          <w:color w:val="0000FF"/>
        </w:rPr>
        <w:t xml:space="preserve"> </w:t>
      </w:r>
      <w:hyperlink r:id="rId88">
        <w:r>
          <w:rPr>
            <w:rFonts w:ascii="Times New Roman" w:cs="Times New Roman" w:eastAsia="Times New Roman" w:hAnsi="Times New Roman"/>
            <w:sz w:val="14"/>
            <w:szCs w:val="14"/>
            <w:u w:val="single" w:color="auto"/>
            <w:color w:val="0000FF"/>
          </w:rPr>
          <w:t>Offering (incorporated by reference to Exhibit 4.2 to the Registrant’s Current Report on Form 8-K, filed with</w:t>
        </w:r>
      </w:hyperlink>
      <w:r>
        <w:rPr>
          <w:rFonts w:ascii="Times New Roman" w:cs="Times New Roman" w:eastAsia="Times New Roman" w:hAnsi="Times New Roman"/>
          <w:sz w:val="14"/>
          <w:szCs w:val="14"/>
          <w:u w:val="single" w:color="auto"/>
          <w:color w:val="0000FF"/>
        </w:rPr>
        <w:t xml:space="preserve"> </w:t>
      </w:r>
      <w:hyperlink r:id="rId88">
        <w:r>
          <w:rPr>
            <w:rFonts w:ascii="Times New Roman" w:cs="Times New Roman" w:eastAsia="Times New Roman" w:hAnsi="Times New Roman"/>
            <w:sz w:val="14"/>
            <w:szCs w:val="14"/>
            <w:u w:val="single" w:color="auto"/>
            <w:color w:val="0000FF"/>
          </w:rPr>
          <w:t>the SEC on July 8, 2024).</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4.7</w:t>
      </w:r>
      <w:r>
        <w:rPr>
          <w:sz w:val="20"/>
          <w:szCs w:val="20"/>
          <w:color w:val="auto"/>
        </w:rPr>
        <w:tab/>
      </w:r>
      <w:hyperlink r:id="rId89">
        <w:r>
          <w:rPr>
            <w:rFonts w:ascii="Times New Roman" w:cs="Times New Roman" w:eastAsia="Times New Roman" w:hAnsi="Times New Roman"/>
            <w:sz w:val="14"/>
            <w:szCs w:val="14"/>
            <w:u w:val="single" w:color="auto"/>
            <w:color w:val="0000FF"/>
          </w:rPr>
          <w:t>Form of Warrant to Purchase Series B Common Stock issued to Investors in July 2024 Registered Direct</w:t>
        </w:r>
      </w:hyperlink>
      <w:r>
        <w:rPr>
          <w:rFonts w:ascii="Times New Roman" w:cs="Times New Roman" w:eastAsia="Times New Roman" w:hAnsi="Times New Roman"/>
          <w:sz w:val="14"/>
          <w:szCs w:val="14"/>
          <w:u w:val="single" w:color="auto"/>
          <w:color w:val="0000FF"/>
        </w:rPr>
        <w:t xml:space="preserve"> </w:t>
      </w:r>
      <w:hyperlink r:id="rId89">
        <w:r>
          <w:rPr>
            <w:rFonts w:ascii="Times New Roman" w:cs="Times New Roman" w:eastAsia="Times New Roman" w:hAnsi="Times New Roman"/>
            <w:sz w:val="14"/>
            <w:szCs w:val="14"/>
            <w:u w:val="single" w:color="auto"/>
            <w:color w:val="0000FF"/>
          </w:rPr>
          <w:t>Offering (incorporated by reference to Exhibit 4.3 to the Registrant’s Current Report on Form 8-K, filed with</w:t>
        </w:r>
      </w:hyperlink>
      <w:r>
        <w:rPr>
          <w:rFonts w:ascii="Times New Roman" w:cs="Times New Roman" w:eastAsia="Times New Roman" w:hAnsi="Times New Roman"/>
          <w:sz w:val="14"/>
          <w:szCs w:val="14"/>
          <w:u w:val="single" w:color="auto"/>
          <w:color w:val="0000FF"/>
        </w:rPr>
        <w:t xml:space="preserve"> </w:t>
      </w:r>
      <w:hyperlink r:id="rId89">
        <w:r>
          <w:rPr>
            <w:rFonts w:ascii="Times New Roman" w:cs="Times New Roman" w:eastAsia="Times New Roman" w:hAnsi="Times New Roman"/>
            <w:sz w:val="14"/>
            <w:szCs w:val="14"/>
            <w:u w:val="single" w:color="auto"/>
            <w:color w:val="0000FF"/>
          </w:rPr>
          <w:t>the SEC on July 8, 2024).</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4.8</w:t>
      </w:r>
      <w:r>
        <w:rPr>
          <w:sz w:val="20"/>
          <w:szCs w:val="20"/>
          <w:color w:val="auto"/>
        </w:rPr>
        <w:tab/>
      </w:r>
      <w:hyperlink r:id="rId91">
        <w:r>
          <w:rPr>
            <w:rFonts w:ascii="Times New Roman" w:cs="Times New Roman" w:eastAsia="Times New Roman" w:hAnsi="Times New Roman"/>
            <w:sz w:val="14"/>
            <w:szCs w:val="14"/>
            <w:u w:val="single" w:color="auto"/>
            <w:color w:val="0000FF"/>
          </w:rPr>
          <w:t>Form of Warrant to Purchase Series C Common Stock issued to Investors in October 2024 Registered Direct</w:t>
        </w:r>
      </w:hyperlink>
      <w:r>
        <w:rPr>
          <w:rFonts w:ascii="Times New Roman" w:cs="Times New Roman" w:eastAsia="Times New Roman" w:hAnsi="Times New Roman"/>
          <w:sz w:val="14"/>
          <w:szCs w:val="14"/>
          <w:u w:val="single" w:color="auto"/>
          <w:color w:val="0000FF"/>
        </w:rPr>
        <w:t xml:space="preserve"> </w:t>
      </w:r>
      <w:hyperlink r:id="rId91">
        <w:r>
          <w:rPr>
            <w:rFonts w:ascii="Times New Roman" w:cs="Times New Roman" w:eastAsia="Times New Roman" w:hAnsi="Times New Roman"/>
            <w:sz w:val="14"/>
            <w:szCs w:val="14"/>
            <w:u w:val="single" w:color="auto"/>
            <w:color w:val="0000FF"/>
          </w:rPr>
          <w:t>Offering (incorporated by reference to Exhibit 4.1 to the Registrant’s Current Report on Form 8-K, filed with</w:t>
        </w:r>
      </w:hyperlink>
      <w:r>
        <w:rPr>
          <w:rFonts w:ascii="Times New Roman" w:cs="Times New Roman" w:eastAsia="Times New Roman" w:hAnsi="Times New Roman"/>
          <w:sz w:val="14"/>
          <w:szCs w:val="14"/>
          <w:u w:val="single" w:color="auto"/>
          <w:color w:val="0000FF"/>
        </w:rPr>
        <w:t xml:space="preserve"> </w:t>
      </w:r>
      <w:hyperlink r:id="rId91">
        <w:r>
          <w:rPr>
            <w:rFonts w:ascii="Times New Roman" w:cs="Times New Roman" w:eastAsia="Times New Roman" w:hAnsi="Times New Roman"/>
            <w:sz w:val="14"/>
            <w:szCs w:val="14"/>
            <w:u w:val="single" w:color="auto"/>
            <w:color w:val="0000FF"/>
          </w:rPr>
          <w:t>the SEC on October 31, 2024).</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500" w:right="1139" w:hanging="427"/>
        <w:spacing w:after="0" w:line="254" w:lineRule="auto"/>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4.9</w:t>
      </w:r>
      <w:r>
        <w:rPr>
          <w:sz w:val="20"/>
          <w:szCs w:val="20"/>
          <w:color w:val="auto"/>
        </w:rPr>
        <w:tab/>
      </w:r>
      <w:hyperlink r:id="rId92">
        <w:r>
          <w:rPr>
            <w:rFonts w:ascii="Times New Roman" w:cs="Times New Roman" w:eastAsia="Times New Roman" w:hAnsi="Times New Roman"/>
            <w:sz w:val="14"/>
            <w:szCs w:val="14"/>
            <w:u w:val="single" w:color="auto"/>
            <w:color w:val="0000FF"/>
          </w:rPr>
          <w:t>Form of Warrant to Purchase Common Stock issued to Investors in January 2025 Registered Direct Offering</w:t>
        </w:r>
      </w:hyperlink>
      <w:r>
        <w:rPr>
          <w:rFonts w:ascii="Times New Roman" w:cs="Times New Roman" w:eastAsia="Times New Roman" w:hAnsi="Times New Roman"/>
          <w:sz w:val="14"/>
          <w:szCs w:val="14"/>
          <w:u w:val="single" w:color="auto"/>
          <w:color w:val="0000FF"/>
        </w:rPr>
        <w:t xml:space="preserve"> </w:t>
      </w:r>
      <w:hyperlink r:id="rId92">
        <w:r>
          <w:rPr>
            <w:rFonts w:ascii="Times New Roman" w:cs="Times New Roman" w:eastAsia="Times New Roman" w:hAnsi="Times New Roman"/>
            <w:sz w:val="14"/>
            <w:szCs w:val="14"/>
            <w:u w:val="single" w:color="auto"/>
            <w:color w:val="0000FF"/>
          </w:rPr>
          <w:t>(incorporated by reference to Exhibit 4.1 to the Registrant’s Current Report on Form 8-K, filed with the SEC</w:t>
        </w:r>
      </w:hyperlink>
      <w:r>
        <w:rPr>
          <w:rFonts w:ascii="Times New Roman" w:cs="Times New Roman" w:eastAsia="Times New Roman" w:hAnsi="Times New Roman"/>
          <w:sz w:val="14"/>
          <w:szCs w:val="14"/>
          <w:u w:val="single" w:color="auto"/>
          <w:color w:val="0000FF"/>
        </w:rPr>
        <w:t xml:space="preserve"> </w:t>
      </w:r>
      <w:hyperlink r:id="rId92">
        <w:r>
          <w:rPr>
            <w:rFonts w:ascii="Times New Roman" w:cs="Times New Roman" w:eastAsia="Times New Roman" w:hAnsi="Times New Roman"/>
            <w:sz w:val="14"/>
            <w:szCs w:val="14"/>
            <w:u w:val="single" w:color="auto"/>
            <w:color w:val="0000FF"/>
          </w:rPr>
          <w:t>on January 6, 2025).</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center"/>
        <w:ind w:right="99"/>
        <w:spacing w:after="0"/>
        <w:tabs>
          <w:tab w:leader="none" w:pos="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94">
        <w:r>
          <w:rPr>
            <w:rFonts w:ascii="Times New Roman" w:cs="Times New Roman" w:eastAsia="Times New Roman" w:hAnsi="Times New Roman"/>
            <w:sz w:val="14"/>
            <w:szCs w:val="14"/>
            <w:u w:val="single" w:color="auto"/>
            <w:color w:val="0000FF"/>
          </w:rPr>
          <w:t>Form of Warrant to Purchase Series E/F Common Stock issued to Investors in September 2025 Offering</w:t>
        </w:r>
      </w:hyperlink>
    </w:p>
    <w:p>
      <w:pPr>
        <w:spacing w:after="0" w:line="10" w:lineRule="exact"/>
        <w:rPr>
          <w:rFonts w:ascii="Times New Roman" w:cs="Times New Roman" w:eastAsia="Times New Roman" w:hAnsi="Times New Roman"/>
          <w:sz w:val="14"/>
          <w:szCs w:val="14"/>
          <w:u w:val="single" w:color="auto"/>
          <w:color w:val="0000FF"/>
        </w:rPr>
      </w:pPr>
    </w:p>
    <w:p>
      <w:pPr>
        <w:ind w:left="1500" w:hanging="434"/>
        <w:spacing w:after="0"/>
        <w:tabs>
          <w:tab w:leader="none" w:pos="1500" w:val="left"/>
        </w:tabs>
        <w:numPr>
          <w:ilvl w:val="0"/>
          <w:numId w:val="19"/>
        </w:numPr>
        <w:rPr>
          <w:rFonts w:ascii="Times New Roman" w:cs="Times New Roman" w:eastAsia="Times New Roman" w:hAnsi="Times New Roman"/>
          <w:sz w:val="14"/>
          <w:szCs w:val="14"/>
          <w:u w:val="single" w:color="auto"/>
          <w:color w:val="0000FF"/>
        </w:rPr>
      </w:pPr>
      <w:hyperlink r:id="rId94">
        <w:r>
          <w:rPr>
            <w:rFonts w:ascii="Times New Roman" w:cs="Times New Roman" w:eastAsia="Times New Roman" w:hAnsi="Times New Roman"/>
            <w:sz w:val="14"/>
            <w:szCs w:val="14"/>
            <w:u w:val="single" w:color="auto"/>
            <w:color w:val="0000FF"/>
          </w:rPr>
          <w:t>(incorporated by reference to Exhibit 4.2 to the Registrant’s Current Report on Form 8-K, filed with the SEC</w:t>
        </w:r>
      </w:hyperlink>
    </w:p>
    <w:p>
      <w:pPr>
        <w:spacing w:after="0" w:line="10" w:lineRule="exact"/>
        <w:rPr>
          <w:rFonts w:ascii="Times New Roman" w:cs="Times New Roman" w:eastAsia="Times New Roman" w:hAnsi="Times New Roman"/>
          <w:sz w:val="14"/>
          <w:szCs w:val="14"/>
          <w:u w:val="single" w:color="auto"/>
          <w:color w:val="0000FF"/>
        </w:rPr>
      </w:pPr>
    </w:p>
    <w:p>
      <w:pPr>
        <w:ind w:left="1500"/>
        <w:spacing w:after="0"/>
        <w:rPr>
          <w:rFonts w:ascii="Times New Roman" w:cs="Times New Roman" w:eastAsia="Times New Roman" w:hAnsi="Times New Roman"/>
          <w:sz w:val="14"/>
          <w:szCs w:val="14"/>
          <w:u w:val="single" w:color="auto"/>
          <w:color w:val="0000FF"/>
        </w:rPr>
      </w:pPr>
      <w:hyperlink r:id="rId94">
        <w:r>
          <w:rPr>
            <w:rFonts w:ascii="Times New Roman" w:cs="Times New Roman" w:eastAsia="Times New Roman" w:hAnsi="Times New Roman"/>
            <w:sz w:val="14"/>
            <w:szCs w:val="14"/>
            <w:u w:val="single" w:color="auto"/>
            <w:color w:val="0000FF"/>
          </w:rPr>
          <w:t>on September 18, 2025).</w:t>
        </w:r>
      </w:hyperlink>
    </w:p>
    <w:p>
      <w:pPr>
        <w:spacing w:after="0" w:line="10" w:lineRule="exact"/>
        <w:rPr>
          <w:rFonts w:ascii="Times New Roman" w:cs="Times New Roman" w:eastAsia="Times New Roman" w:hAnsi="Times New Roman"/>
          <w:sz w:val="14"/>
          <w:szCs w:val="14"/>
          <w:u w:val="single" w:color="auto"/>
          <w:color w:val="0000FF"/>
        </w:rPr>
      </w:pPr>
    </w:p>
    <w:p>
      <w:pPr>
        <w:ind w:left="1060"/>
        <w:spacing w:after="0"/>
        <w:tabs>
          <w:tab w:leader="none" w:pos="14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56">
        <w:r>
          <w:rPr>
            <w:rFonts w:ascii="Times New Roman" w:cs="Times New Roman" w:eastAsia="Times New Roman" w:hAnsi="Times New Roman"/>
            <w:sz w:val="14"/>
            <w:szCs w:val="14"/>
            <w:u w:val="single" w:color="auto"/>
            <w:color w:val="0000FF"/>
          </w:rPr>
          <w:t>Description of the Company’s Securities (incorporated by reference to Exhibit 4.5 to the Registrant's Annual</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-100965</wp:posOffset>
            </wp:positionV>
            <wp:extent cx="4364355" cy="2171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4364355" cy="217170"/>
                    </a:xfrm>
                    <a:prstGeom prst="rect">
                      <a:avLst/>
                    </a:prstGeom>
                    <a:noFill/>
                  </pic:spPr>
                </pic:pic>
              </a:graphicData>
            </a:graphic>
          </wp:anchor>
        </w:drawing>
      </w:r>
    </w:p>
    <w:p>
      <w:pPr>
        <w:ind w:left="1060" w:right="4019" w:firstLine="6"/>
        <w:spacing w:after="0" w:line="254" w:lineRule="auto"/>
        <w:tabs>
          <w:tab w:leader="none" w:pos="1488" w:val="left"/>
        </w:tabs>
        <w:numPr>
          <w:ilvl w:val="0"/>
          <w:numId w:val="20"/>
        </w:numPr>
        <w:rPr>
          <w:rFonts w:ascii="Times New Roman" w:cs="Times New Roman" w:eastAsia="Times New Roman" w:hAnsi="Times New Roman"/>
          <w:sz w:val="14"/>
          <w:szCs w:val="14"/>
          <w:u w:val="single" w:color="auto"/>
          <w:color w:val="0000FF"/>
        </w:rPr>
      </w:pPr>
      <w:hyperlink r:id="rId56">
        <w:r>
          <w:rPr>
            <w:rFonts w:ascii="Times New Roman" w:cs="Times New Roman" w:eastAsia="Times New Roman" w:hAnsi="Times New Roman"/>
            <w:sz w:val="14"/>
            <w:szCs w:val="14"/>
            <w:u w:val="single" w:color="auto"/>
            <w:color w:val="0000FF"/>
          </w:rPr>
          <w:t>Report on Form 10-K, filed with the SEC on March 5, 2024).</w:t>
        </w:r>
      </w:hyperlink>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color w:val="000000"/>
        </w:rPr>
        <w:t xml:space="preserve">5.1 </w:t>
      </w:r>
      <w:r>
        <w:rPr>
          <w:rFonts w:ascii="Times New Roman" w:cs="Times New Roman" w:eastAsia="Times New Roman" w:hAnsi="Times New Roman"/>
          <w:sz w:val="14"/>
          <w:szCs w:val="14"/>
          <w:u w:val="single" w:color="auto"/>
          <w:color w:val="0000FF"/>
        </w:rPr>
        <w:t>Opinion of Troutman Pepper Locke LLP.</w:t>
      </w:r>
    </w:p>
    <w:p>
      <w:pPr>
        <w:spacing w:after="0" w:line="1" w:lineRule="exact"/>
        <w:rPr>
          <w:rFonts w:ascii="Times New Roman" w:cs="Times New Roman" w:eastAsia="Times New Roman" w:hAnsi="Times New Roman"/>
          <w:sz w:val="14"/>
          <w:szCs w:val="14"/>
          <w:u w:val="single" w:color="auto"/>
          <w:color w:val="0000FF"/>
        </w:rPr>
      </w:pPr>
    </w:p>
    <w:p>
      <w:pPr>
        <w:ind w:left="1060"/>
        <w:spacing w:after="0"/>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w:t>
      </w:r>
    </w:p>
    <w:p>
      <w:pPr>
        <w:spacing w:after="0" w:line="10" w:lineRule="exact"/>
        <w:rPr>
          <w:rFonts w:ascii="Times New Roman" w:cs="Times New Roman" w:eastAsia="Times New Roman" w:hAnsi="Times New Roman"/>
          <w:sz w:val="14"/>
          <w:szCs w:val="14"/>
          <w:u w:val="single" w:color="auto"/>
          <w:color w:val="0000FF"/>
        </w:rPr>
      </w:pPr>
    </w:p>
    <w:p>
      <w:pPr>
        <w:jc w:val="both"/>
        <w:ind w:left="1060" w:right="1139" w:firstLine="6"/>
        <w:spacing w:after="0" w:line="254" w:lineRule="auto"/>
        <w:tabs>
          <w:tab w:leader="none" w:pos="1488" w:val="left"/>
        </w:tabs>
        <w:numPr>
          <w:ilvl w:val="0"/>
          <w:numId w:val="21"/>
        </w:numPr>
        <w:rPr>
          <w:rFonts w:ascii="Times New Roman" w:cs="Times New Roman" w:eastAsia="Times New Roman" w:hAnsi="Times New Roman"/>
          <w:sz w:val="14"/>
          <w:szCs w:val="14"/>
          <w:color w:val="000000"/>
        </w:rPr>
      </w:pPr>
      <w:hyperlink r:id="rId96">
        <w:r>
          <w:rPr>
            <w:rFonts w:ascii="Times New Roman" w:cs="Times New Roman" w:eastAsia="Times New Roman" w:hAnsi="Times New Roman"/>
            <w:sz w:val="14"/>
            <w:szCs w:val="14"/>
            <w:u w:val="single" w:color="auto"/>
            <w:color w:val="0000FF"/>
          </w:rPr>
          <w:t>Form of Securities Purchase Agreement, dated April 4, 2024, by and among the Company and the Purchasers</w:t>
        </w:r>
      </w:hyperlink>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color w:val="000000"/>
        </w:rPr>
        <w:t xml:space="preserve">1^€ </w:t>
      </w:r>
      <w:hyperlink r:id="rId96">
        <w:r>
          <w:rPr>
            <w:rFonts w:ascii="Times New Roman" w:cs="Times New Roman" w:eastAsia="Times New Roman" w:hAnsi="Times New Roman"/>
            <w:sz w:val="14"/>
            <w:szCs w:val="14"/>
            <w:u w:val="single" w:color="auto"/>
            <w:color w:val="0000FF"/>
          </w:rPr>
          <w:t>named therein (incorporated by reference to Exhibit 10.1 to the Registrant’s Current Report on Form 8-K, filed</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677545</wp:posOffset>
            </wp:positionH>
            <wp:positionV relativeFrom="paragraph">
              <wp:posOffset>-215265</wp:posOffset>
            </wp:positionV>
            <wp:extent cx="4364355" cy="325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ind w:left="1500"/>
        <w:spacing w:after="0"/>
        <w:rPr>
          <w:rFonts w:ascii="Times New Roman" w:cs="Times New Roman" w:eastAsia="Times New Roman" w:hAnsi="Times New Roman"/>
          <w:sz w:val="14"/>
          <w:szCs w:val="14"/>
          <w:u w:val="single" w:color="auto"/>
          <w:color w:val="0000FF"/>
        </w:rPr>
      </w:pPr>
      <w:hyperlink r:id="rId96">
        <w:r>
          <w:rPr>
            <w:rFonts w:ascii="Times New Roman" w:cs="Times New Roman" w:eastAsia="Times New Roman" w:hAnsi="Times New Roman"/>
            <w:sz w:val="14"/>
            <w:szCs w:val="14"/>
            <w:u w:val="single" w:color="auto"/>
            <w:color w:val="0000FF"/>
          </w:rPr>
          <w:t>with the SEC on April 5, 2024).</w:t>
        </w:r>
      </w:hyperlink>
    </w:p>
    <w:p>
      <w:pPr>
        <w:spacing w:after="0" w:line="10" w:lineRule="exact"/>
        <w:rPr>
          <w:rFonts w:ascii="Times New Roman" w:cs="Times New Roman" w:eastAsia="Times New Roman" w:hAnsi="Times New Roman"/>
          <w:sz w:val="14"/>
          <w:szCs w:val="14"/>
          <w:color w:val="auto"/>
        </w:rPr>
      </w:pPr>
    </w:p>
    <w:p>
      <w:pPr>
        <w:jc w:val="both"/>
        <w:ind w:left="1060" w:right="1139" w:firstLine="6"/>
        <w:spacing w:after="0" w:line="254" w:lineRule="auto"/>
        <w:tabs>
          <w:tab w:leader="none" w:pos="1488" w:val="left"/>
        </w:tabs>
        <w:numPr>
          <w:ilvl w:val="0"/>
          <w:numId w:val="22"/>
        </w:numPr>
        <w:rPr>
          <w:rFonts w:ascii="Times New Roman" w:cs="Times New Roman" w:eastAsia="Times New Roman" w:hAnsi="Times New Roman"/>
          <w:sz w:val="14"/>
          <w:szCs w:val="14"/>
          <w:color w:val="000000"/>
        </w:rPr>
      </w:pPr>
      <w:hyperlink r:id="rId98">
        <w:r>
          <w:rPr>
            <w:rFonts w:ascii="Times New Roman" w:cs="Times New Roman" w:eastAsia="Times New Roman" w:hAnsi="Times New Roman"/>
            <w:sz w:val="14"/>
            <w:szCs w:val="14"/>
            <w:u w:val="single" w:color="auto"/>
            <w:color w:val="0000FF"/>
          </w:rPr>
          <w:t>Form of Securities Purchase Agreement, dated July 4, 2024, by and among the Company and the Purchasers</w:t>
        </w:r>
      </w:hyperlink>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color w:val="000000"/>
        </w:rPr>
        <w:t xml:space="preserve">2^€ </w:t>
      </w:r>
      <w:hyperlink r:id="rId98">
        <w:r>
          <w:rPr>
            <w:rFonts w:ascii="Times New Roman" w:cs="Times New Roman" w:eastAsia="Times New Roman" w:hAnsi="Times New Roman"/>
            <w:sz w:val="14"/>
            <w:szCs w:val="14"/>
            <w:u w:val="single" w:color="auto"/>
            <w:color w:val="0000FF"/>
          </w:rPr>
          <w:t>named therein (incorporated by reference to Exhibit 10.1 to the Registrant’s Current Report on Form 8-K, filed</w:t>
        </w:r>
      </w:hyperlink>
    </w:p>
    <w:p>
      <w:pPr>
        <w:spacing w:after="0" w:line="1" w:lineRule="exact"/>
        <w:rPr>
          <w:rFonts w:ascii="Times New Roman" w:cs="Times New Roman" w:eastAsia="Times New Roman" w:hAnsi="Times New Roman"/>
          <w:sz w:val="14"/>
          <w:szCs w:val="14"/>
          <w:color w:val="auto"/>
        </w:rPr>
      </w:pPr>
    </w:p>
    <w:p>
      <w:pPr>
        <w:ind w:left="1500"/>
        <w:spacing w:after="0"/>
        <w:rPr>
          <w:rFonts w:ascii="Times New Roman" w:cs="Times New Roman" w:eastAsia="Times New Roman" w:hAnsi="Times New Roman"/>
          <w:sz w:val="14"/>
          <w:szCs w:val="14"/>
          <w:u w:val="single" w:color="auto"/>
          <w:color w:val="0000FF"/>
        </w:rPr>
      </w:pPr>
      <w:hyperlink r:id="rId98">
        <w:r>
          <w:rPr>
            <w:rFonts w:ascii="Times New Roman" w:cs="Times New Roman" w:eastAsia="Times New Roman" w:hAnsi="Times New Roman"/>
            <w:sz w:val="14"/>
            <w:szCs w:val="14"/>
            <w:u w:val="single" w:color="auto"/>
            <w:color w:val="0000FF"/>
          </w:rPr>
          <w:t>with the SEC on July 8, 2024).</w:t>
        </w:r>
      </w:hyperlink>
    </w:p>
    <w:p>
      <w:pPr>
        <w:spacing w:after="0" w:line="10" w:lineRule="exact"/>
        <w:rPr>
          <w:rFonts w:ascii="Times New Roman" w:cs="Times New Roman" w:eastAsia="Times New Roman" w:hAnsi="Times New Roman"/>
          <w:sz w:val="14"/>
          <w:szCs w:val="14"/>
          <w:color w:val="auto"/>
        </w:rPr>
      </w:pPr>
    </w:p>
    <w:p>
      <w:pPr>
        <w:jc w:val="both"/>
        <w:ind w:left="1060" w:right="1139" w:firstLine="6"/>
        <w:spacing w:after="0" w:line="269" w:lineRule="auto"/>
        <w:tabs>
          <w:tab w:leader="none" w:pos="1488" w:val="left"/>
        </w:tabs>
        <w:numPr>
          <w:ilvl w:val="0"/>
          <w:numId w:val="23"/>
        </w:numPr>
        <w:rPr>
          <w:rFonts w:ascii="Times New Roman" w:cs="Times New Roman" w:eastAsia="Times New Roman" w:hAnsi="Times New Roman"/>
          <w:sz w:val="14"/>
          <w:szCs w:val="14"/>
          <w:color w:val="000000"/>
        </w:rPr>
      </w:pPr>
      <w:hyperlink r:id="rId99">
        <w:r>
          <w:rPr>
            <w:rFonts w:ascii="Times New Roman" w:cs="Times New Roman" w:eastAsia="Times New Roman" w:hAnsi="Times New Roman"/>
            <w:sz w:val="14"/>
            <w:szCs w:val="14"/>
            <w:u w:val="single" w:color="auto"/>
            <w:color w:val="0000FF"/>
          </w:rPr>
          <w:t>Form of Securities Purchase Agreement, dated October 30, 2024, by and among the Company and the</w:t>
        </w:r>
      </w:hyperlink>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color w:val="000000"/>
        </w:rPr>
        <w:t xml:space="preserve">3^€ </w:t>
      </w:r>
      <w:hyperlink r:id="rId99">
        <w:r>
          <w:rPr>
            <w:rFonts w:ascii="Times New Roman" w:cs="Times New Roman" w:eastAsia="Times New Roman" w:hAnsi="Times New Roman"/>
            <w:sz w:val="14"/>
            <w:szCs w:val="14"/>
            <w:u w:val="single" w:color="auto"/>
            <w:color w:val="0000FF"/>
          </w:rPr>
          <w:t>Purchasers named therein (incorporated by reference to Exhibit 10.1 to the Registrant’s Current Report on</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677545</wp:posOffset>
            </wp:positionH>
            <wp:positionV relativeFrom="paragraph">
              <wp:posOffset>-227965</wp:posOffset>
            </wp:positionV>
            <wp:extent cx="4364355"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spacing w:after="0" w:line="118" w:lineRule="exact"/>
        <w:rPr>
          <w:rFonts w:ascii="Times New Roman" w:cs="Times New Roman" w:eastAsia="Times New Roman" w:hAnsi="Times New Roman"/>
          <w:sz w:val="14"/>
          <w:szCs w:val="14"/>
          <w:color w:val="auto"/>
        </w:rPr>
      </w:pPr>
    </w:p>
    <w:p>
      <w:pPr>
        <w:jc w:val="both"/>
        <w:ind w:left="1060" w:right="1139" w:firstLine="6"/>
        <w:spacing w:after="0" w:line="265" w:lineRule="auto"/>
        <w:tabs>
          <w:tab w:leader="none" w:pos="1488" w:val="left"/>
        </w:tabs>
        <w:numPr>
          <w:ilvl w:val="0"/>
          <w:numId w:val="24"/>
        </w:numPr>
        <w:rPr>
          <w:rFonts w:ascii="Times New Roman" w:cs="Times New Roman" w:eastAsia="Times New Roman" w:hAnsi="Times New Roman"/>
          <w:sz w:val="14"/>
          <w:szCs w:val="14"/>
          <w:color w:val="000000"/>
        </w:rPr>
      </w:pPr>
      <w:hyperlink r:id="rId101">
        <w:r>
          <w:rPr>
            <w:rFonts w:ascii="Times New Roman" w:cs="Times New Roman" w:eastAsia="Times New Roman" w:hAnsi="Times New Roman"/>
            <w:sz w:val="14"/>
            <w:szCs w:val="14"/>
            <w:u w:val="single" w:color="auto"/>
            <w:color w:val="0000FF"/>
          </w:rPr>
          <w:t>Form of Securities Purchase Agreement, dated January 3, 2025, by and among the Company and the Purchasers</w:t>
        </w:r>
      </w:hyperlink>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color w:val="000000"/>
        </w:rPr>
        <w:t xml:space="preserve">4^€ </w:t>
      </w:r>
      <w:hyperlink r:id="rId101">
        <w:r>
          <w:rPr>
            <w:rFonts w:ascii="Times New Roman" w:cs="Times New Roman" w:eastAsia="Times New Roman" w:hAnsi="Times New Roman"/>
            <w:sz w:val="14"/>
            <w:szCs w:val="14"/>
            <w:u w:val="single" w:color="auto"/>
            <w:color w:val="0000FF"/>
          </w:rPr>
          <w:t>named therein (incorporated by reference to Exhibit 10.1 to the Registrant’s Current Report on Form 8-K, filed</w:t>
        </w:r>
      </w:hyperlink>
    </w:p>
    <w:p>
      <w:pPr>
        <w:ind w:left="1500"/>
        <w:spacing w:after="0"/>
        <w:rPr>
          <w:rFonts w:ascii="Times New Roman" w:cs="Times New Roman" w:eastAsia="Times New Roman" w:hAnsi="Times New Roman"/>
          <w:sz w:val="14"/>
          <w:szCs w:val="14"/>
          <w:u w:val="single" w:color="auto"/>
          <w:color w:val="0000FF"/>
        </w:rPr>
      </w:pPr>
      <w:hyperlink r:id="rId101">
        <w:r>
          <w:rPr>
            <w:rFonts w:ascii="Times New Roman" w:cs="Times New Roman" w:eastAsia="Times New Roman" w:hAnsi="Times New Roman"/>
            <w:sz w:val="14"/>
            <w:szCs w:val="14"/>
            <w:u w:val="single" w:color="auto"/>
            <w:color w:val="0000FF"/>
          </w:rPr>
          <w:t>with the SEC on January 6, 2025).</w:t>
        </w:r>
      </w:hyperlink>
    </w:p>
    <w:p>
      <w:pPr>
        <w:spacing w:after="0" w:line="242" w:lineRule="exact"/>
        <w:rPr>
          <w:rFonts w:ascii="Times New Roman" w:cs="Times New Roman" w:eastAsia="Times New Roman" w:hAnsi="Times New Roman"/>
          <w:sz w:val="14"/>
          <w:szCs w:val="14"/>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213" w:right="1440" w:bottom="1440" w:gutter="0" w:footer="0" w:header="0"/>
        </w:sectPr>
      </w:pPr>
    </w:p>
    <w:bookmarkStart w:id="32" w:name="page33"/>
    <w:bookmarkEnd w:id="32"/>
    <w:p>
      <w:pPr>
        <w:jc w:val="both"/>
        <w:ind w:left="1820" w:right="1139" w:hanging="747"/>
        <w:spacing w:after="0" w:line="261" w:lineRule="auto"/>
        <w:tabs>
          <w:tab w:leader="none" w:pos="180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10.5^</w:t>
      </w:r>
      <w:r>
        <w:rPr>
          <w:sz w:val="20"/>
          <w:szCs w:val="20"/>
          <w:color w:val="auto"/>
        </w:rPr>
        <w:tab/>
      </w:r>
      <w:hyperlink r:id="rId103">
        <w:r>
          <w:rPr>
            <w:rFonts w:ascii="Times New Roman" w:cs="Times New Roman" w:eastAsia="Times New Roman" w:hAnsi="Times New Roman"/>
            <w:sz w:val="14"/>
            <w:szCs w:val="14"/>
            <w:color w:val="0000FF"/>
          </w:rPr>
          <w:t>Form of Securities Purchase Agreement, dated September 16, 2025, by and among the Company and the</w:t>
        </w:r>
      </w:hyperlink>
      <w:r>
        <w:rPr>
          <w:rFonts w:ascii="Times New Roman" w:cs="Times New Roman" w:eastAsia="Times New Roman" w:hAnsi="Times New Roman"/>
          <w:sz w:val="14"/>
          <w:szCs w:val="14"/>
          <w:color w:val="0000FF"/>
        </w:rPr>
        <w:t xml:space="preserve"> </w:t>
      </w:r>
      <w:hyperlink r:id="rId103">
        <w:r>
          <w:rPr>
            <w:rFonts w:ascii="Times New Roman" w:cs="Times New Roman" w:eastAsia="Times New Roman" w:hAnsi="Times New Roman"/>
            <w:sz w:val="14"/>
            <w:szCs w:val="14"/>
            <w:color w:val="0000FF"/>
          </w:rPr>
          <w:t>Purchasers named therein (incorporated by reference to Exhibit 10.1 to the Registrant’s Current Report on</w:t>
        </w:r>
      </w:hyperlink>
      <w:r>
        <w:rPr>
          <w:rFonts w:ascii="Times New Roman" w:cs="Times New Roman" w:eastAsia="Times New Roman" w:hAnsi="Times New Roman"/>
          <w:sz w:val="14"/>
          <w:szCs w:val="14"/>
          <w:color w:val="0000FF"/>
        </w:rPr>
        <w:t xml:space="preserve"> </w:t>
      </w:r>
      <w:hyperlink r:id="rId103">
        <w:r>
          <w:rPr>
            <w:rFonts w:ascii="Times New Roman" w:cs="Times New Roman" w:eastAsia="Times New Roman" w:hAnsi="Times New Roman"/>
            <w:sz w:val="14"/>
            <w:szCs w:val="14"/>
            <w:color w:val="0000FF"/>
          </w:rPr>
          <w:t>Form 8-K, filed with the SEC on September 18, 2025).</w:t>
        </w:r>
      </w:hyperlink>
    </w:p>
    <w:p>
      <w:pPr>
        <w:spacing w:after="0" w:line="20"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drawing>
          <wp:anchor simplePos="0" relativeHeight="251657728" behindDoc="1" locked="0" layoutInCell="0" allowOverlap="1">
            <wp:simplePos x="0" y="0"/>
            <wp:positionH relativeFrom="column">
              <wp:posOffset>677545</wp:posOffset>
            </wp:positionH>
            <wp:positionV relativeFrom="paragraph">
              <wp:posOffset>-323850</wp:posOffset>
            </wp:positionV>
            <wp:extent cx="4364355"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105">
        <w:r>
          <w:rPr>
            <w:rFonts w:ascii="Times New Roman" w:cs="Times New Roman" w:eastAsia="Times New Roman" w:hAnsi="Times New Roman"/>
            <w:sz w:val="14"/>
            <w:szCs w:val="14"/>
            <w:u w:val="single" w:color="auto"/>
            <w:color w:val="0000FF"/>
          </w:rPr>
          <w:t>Bionano Genomics, Inc. 2018 Equity Incentive Plan, as amended (the “2018 Plan”) (incorporated by</w:t>
        </w:r>
      </w:hyperlink>
      <w:r>
        <w:rPr>
          <w:rFonts w:ascii="Times New Roman" w:cs="Times New Roman" w:eastAsia="Times New Roman" w:hAnsi="Times New Roman"/>
          <w:sz w:val="14"/>
          <w:szCs w:val="14"/>
          <w:u w:val="single" w:color="auto"/>
          <w:color w:val="0000FF"/>
        </w:rPr>
        <w:t xml:space="preserve"> </w:t>
      </w:r>
      <w:hyperlink r:id="rId105">
        <w:r>
          <w:rPr>
            <w:rFonts w:ascii="Times New Roman" w:cs="Times New Roman" w:eastAsia="Times New Roman" w:hAnsi="Times New Roman"/>
            <w:sz w:val="14"/>
            <w:szCs w:val="14"/>
            <w:u w:val="single" w:color="auto"/>
            <w:color w:val="0000FF"/>
          </w:rPr>
          <w:t>reference to Exhibit 99.1 of the Registrant’s Registration Statement on Form S-8 (File No. 333-245764),</w:t>
        </w:r>
      </w:hyperlink>
      <w:r>
        <w:rPr>
          <w:rFonts w:ascii="Times New Roman" w:cs="Times New Roman" w:eastAsia="Times New Roman" w:hAnsi="Times New Roman"/>
          <w:sz w:val="14"/>
          <w:szCs w:val="14"/>
          <w:u w:val="single" w:color="auto"/>
          <w:color w:val="0000FF"/>
        </w:rPr>
        <w:t xml:space="preserve"> </w:t>
      </w:r>
      <w:hyperlink r:id="rId105">
        <w:r>
          <w:rPr>
            <w:rFonts w:ascii="Times New Roman" w:cs="Times New Roman" w:eastAsia="Times New Roman" w:hAnsi="Times New Roman"/>
            <w:sz w:val="14"/>
            <w:szCs w:val="14"/>
            <w:u w:val="single" w:color="auto"/>
            <w:color w:val="0000FF"/>
          </w:rPr>
          <w:t>filed with the SEC on August 13, 2020).</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10.6A+</w:t>
      </w:r>
      <w:r>
        <w:rPr>
          <w:sz w:val="20"/>
          <w:szCs w:val="20"/>
          <w:color w:val="auto"/>
        </w:rPr>
        <w:tab/>
      </w:r>
      <w:hyperlink r:id="rId106">
        <w:r>
          <w:rPr>
            <w:rFonts w:ascii="Times New Roman" w:cs="Times New Roman" w:eastAsia="Times New Roman" w:hAnsi="Times New Roman"/>
            <w:sz w:val="14"/>
            <w:szCs w:val="14"/>
            <w:u w:val="single" w:color="auto"/>
            <w:color w:val="0000FF"/>
          </w:rPr>
          <w:t>Forms of grant notice, stock option agreement and notice of exercise under the 2018 Plan (incorporated</w:t>
        </w:r>
      </w:hyperlink>
      <w:r>
        <w:rPr>
          <w:rFonts w:ascii="Times New Roman" w:cs="Times New Roman" w:eastAsia="Times New Roman" w:hAnsi="Times New Roman"/>
          <w:sz w:val="14"/>
          <w:szCs w:val="14"/>
          <w:u w:val="single" w:color="auto"/>
          <w:color w:val="0000FF"/>
        </w:rPr>
        <w:t xml:space="preserve"> </w:t>
      </w:r>
      <w:hyperlink r:id="rId106">
        <w:r>
          <w:rPr>
            <w:rFonts w:ascii="Times New Roman" w:cs="Times New Roman" w:eastAsia="Times New Roman" w:hAnsi="Times New Roman"/>
            <w:sz w:val="14"/>
            <w:szCs w:val="14"/>
            <w:u w:val="single" w:color="auto"/>
            <w:color w:val="0000FF"/>
          </w:rPr>
          <w:t>by reference to Exhibit 10.2A of the Registrant’s Annual Report on Form 10-K, filed with the SEC on</w:t>
        </w:r>
      </w:hyperlink>
      <w:r>
        <w:rPr>
          <w:rFonts w:ascii="Times New Roman" w:cs="Times New Roman" w:eastAsia="Times New Roman" w:hAnsi="Times New Roman"/>
          <w:sz w:val="14"/>
          <w:szCs w:val="14"/>
          <w:u w:val="single" w:color="auto"/>
          <w:color w:val="0000FF"/>
        </w:rPr>
        <w:t xml:space="preserve"> </w:t>
      </w:r>
      <w:hyperlink r:id="rId106">
        <w:r>
          <w:rPr>
            <w:rFonts w:ascii="Times New Roman" w:cs="Times New Roman" w:eastAsia="Times New Roman" w:hAnsi="Times New Roman"/>
            <w:sz w:val="14"/>
            <w:szCs w:val="14"/>
            <w:u w:val="single" w:color="auto"/>
            <w:color w:val="0000FF"/>
          </w:rPr>
          <w:t>March 9, 2023).</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10.6B+</w:t>
      </w:r>
      <w:r>
        <w:rPr>
          <w:sz w:val="20"/>
          <w:szCs w:val="20"/>
          <w:color w:val="auto"/>
        </w:rPr>
        <w:tab/>
      </w:r>
      <w:hyperlink r:id="rId108">
        <w:r>
          <w:rPr>
            <w:rFonts w:ascii="Times New Roman" w:cs="Times New Roman" w:eastAsia="Times New Roman" w:hAnsi="Times New Roman"/>
            <w:sz w:val="14"/>
            <w:szCs w:val="14"/>
            <w:u w:val="single" w:color="auto"/>
            <w:color w:val="0000FF"/>
          </w:rPr>
          <w:t>Forms of director grant notice, stock option agreement and notice of exercise under the 2018 Plan</w:t>
        </w:r>
      </w:hyperlink>
      <w:r>
        <w:rPr>
          <w:rFonts w:ascii="Times New Roman" w:cs="Times New Roman" w:eastAsia="Times New Roman" w:hAnsi="Times New Roman"/>
          <w:sz w:val="14"/>
          <w:szCs w:val="14"/>
          <w:u w:val="single" w:color="auto"/>
          <w:color w:val="0000FF"/>
        </w:rPr>
        <w:t xml:space="preserve"> </w:t>
      </w:r>
      <w:hyperlink r:id="rId108">
        <w:r>
          <w:rPr>
            <w:rFonts w:ascii="Times New Roman" w:cs="Times New Roman" w:eastAsia="Times New Roman" w:hAnsi="Times New Roman"/>
            <w:sz w:val="14"/>
            <w:szCs w:val="14"/>
            <w:u w:val="single" w:color="auto"/>
            <w:color w:val="0000FF"/>
          </w:rPr>
          <w:t>(incorporated by reference to Exhibit 10.2B of the Registrant’s Annual Report on Form 10-K, filed with</w:t>
        </w:r>
      </w:hyperlink>
      <w:r>
        <w:rPr>
          <w:rFonts w:ascii="Times New Roman" w:cs="Times New Roman" w:eastAsia="Times New Roman" w:hAnsi="Times New Roman"/>
          <w:sz w:val="14"/>
          <w:szCs w:val="14"/>
          <w:u w:val="single" w:color="auto"/>
          <w:color w:val="0000FF"/>
        </w:rPr>
        <w:t xml:space="preserve"> </w:t>
      </w:r>
      <w:hyperlink r:id="rId108">
        <w:r>
          <w:rPr>
            <w:rFonts w:ascii="Times New Roman" w:cs="Times New Roman" w:eastAsia="Times New Roman" w:hAnsi="Times New Roman"/>
            <w:sz w:val="14"/>
            <w:szCs w:val="14"/>
            <w:u w:val="single" w:color="auto"/>
            <w:color w:val="0000FF"/>
          </w:rPr>
          <w:t>the SEC on March 9, 2023).</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10.6C+</w:t>
      </w:r>
      <w:r>
        <w:rPr>
          <w:sz w:val="20"/>
          <w:szCs w:val="20"/>
          <w:color w:val="auto"/>
        </w:rPr>
        <w:tab/>
      </w:r>
      <w:hyperlink r:id="rId109">
        <w:r>
          <w:rPr>
            <w:rFonts w:ascii="Times New Roman" w:cs="Times New Roman" w:eastAsia="Times New Roman" w:hAnsi="Times New Roman"/>
            <w:sz w:val="14"/>
            <w:szCs w:val="14"/>
            <w:u w:val="single" w:color="auto"/>
            <w:color w:val="0000FF"/>
          </w:rPr>
          <w:t>Forms of double-trigger grant notice, stock option agreement and notice of exercise under the 2018 Plan</w:t>
        </w:r>
      </w:hyperlink>
      <w:r>
        <w:rPr>
          <w:rFonts w:ascii="Times New Roman" w:cs="Times New Roman" w:eastAsia="Times New Roman" w:hAnsi="Times New Roman"/>
          <w:sz w:val="14"/>
          <w:szCs w:val="14"/>
          <w:u w:val="single" w:color="auto"/>
          <w:color w:val="0000FF"/>
        </w:rPr>
        <w:t xml:space="preserve"> </w:t>
      </w:r>
      <w:hyperlink r:id="rId109">
        <w:r>
          <w:rPr>
            <w:rFonts w:ascii="Times New Roman" w:cs="Times New Roman" w:eastAsia="Times New Roman" w:hAnsi="Times New Roman"/>
            <w:sz w:val="14"/>
            <w:szCs w:val="14"/>
            <w:u w:val="single" w:color="auto"/>
            <w:color w:val="0000FF"/>
          </w:rPr>
          <w:t>(incorporated by reference to Exhibit 10.2C of the Registrant’s Annual Report on Form 10-K, filed with</w:t>
        </w:r>
      </w:hyperlink>
      <w:r>
        <w:rPr>
          <w:rFonts w:ascii="Times New Roman" w:cs="Times New Roman" w:eastAsia="Times New Roman" w:hAnsi="Times New Roman"/>
          <w:sz w:val="14"/>
          <w:szCs w:val="14"/>
          <w:u w:val="single" w:color="auto"/>
          <w:color w:val="0000FF"/>
        </w:rPr>
        <w:t xml:space="preserve"> </w:t>
      </w:r>
      <w:hyperlink r:id="rId109">
        <w:r>
          <w:rPr>
            <w:rFonts w:ascii="Times New Roman" w:cs="Times New Roman" w:eastAsia="Times New Roman" w:hAnsi="Times New Roman"/>
            <w:sz w:val="14"/>
            <w:szCs w:val="14"/>
            <w:u w:val="single" w:color="auto"/>
            <w:color w:val="0000FF"/>
          </w:rPr>
          <w:t>the SEC on March 9, 2023).</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10.6D+</w:t>
      </w:r>
      <w:r>
        <w:rPr>
          <w:sz w:val="20"/>
          <w:szCs w:val="20"/>
          <w:color w:val="auto"/>
        </w:rPr>
        <w:tab/>
      </w:r>
      <w:hyperlink r:id="rId111">
        <w:r>
          <w:rPr>
            <w:rFonts w:ascii="Times New Roman" w:cs="Times New Roman" w:eastAsia="Times New Roman" w:hAnsi="Times New Roman"/>
            <w:sz w:val="14"/>
            <w:szCs w:val="14"/>
            <w:u w:val="single" w:color="auto"/>
            <w:color w:val="0000FF"/>
          </w:rPr>
          <w:t>Forms of international grant notice, stock option agreement and notice of exercise under the 2018 Plan</w:t>
        </w:r>
      </w:hyperlink>
      <w:r>
        <w:rPr>
          <w:rFonts w:ascii="Times New Roman" w:cs="Times New Roman" w:eastAsia="Times New Roman" w:hAnsi="Times New Roman"/>
          <w:sz w:val="14"/>
          <w:szCs w:val="14"/>
          <w:u w:val="single" w:color="auto"/>
          <w:color w:val="0000FF"/>
        </w:rPr>
        <w:t xml:space="preserve"> </w:t>
      </w:r>
      <w:hyperlink r:id="rId111">
        <w:r>
          <w:rPr>
            <w:rFonts w:ascii="Times New Roman" w:cs="Times New Roman" w:eastAsia="Times New Roman" w:hAnsi="Times New Roman"/>
            <w:sz w:val="14"/>
            <w:szCs w:val="14"/>
            <w:u w:val="single" w:color="auto"/>
            <w:color w:val="0000FF"/>
          </w:rPr>
          <w:t>(incorporated by reference to Exhibit 10.5 of the Registrant’s Registration Statement on Form S-1 (File</w:t>
        </w:r>
      </w:hyperlink>
      <w:r>
        <w:rPr>
          <w:rFonts w:ascii="Times New Roman" w:cs="Times New Roman" w:eastAsia="Times New Roman" w:hAnsi="Times New Roman"/>
          <w:sz w:val="14"/>
          <w:szCs w:val="14"/>
          <w:u w:val="single" w:color="auto"/>
          <w:color w:val="0000FF"/>
        </w:rPr>
        <w:t xml:space="preserve"> </w:t>
      </w:r>
      <w:hyperlink r:id="rId111">
        <w:r>
          <w:rPr>
            <w:rFonts w:ascii="Times New Roman" w:cs="Times New Roman" w:eastAsia="Times New Roman" w:hAnsi="Times New Roman"/>
            <w:sz w:val="14"/>
            <w:szCs w:val="14"/>
            <w:u w:val="single" w:color="auto"/>
            <w:color w:val="0000FF"/>
          </w:rPr>
          <w:t>No. 333-225970), as amended, filed with the SEC on August 17, 2018).</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10.6E+</w:t>
      </w:r>
      <w:r>
        <w:rPr>
          <w:sz w:val="20"/>
          <w:szCs w:val="20"/>
          <w:color w:val="auto"/>
        </w:rPr>
        <w:tab/>
      </w:r>
      <w:hyperlink r:id="rId112">
        <w:r>
          <w:rPr>
            <w:rFonts w:ascii="Times New Roman" w:cs="Times New Roman" w:eastAsia="Times New Roman" w:hAnsi="Times New Roman"/>
            <w:sz w:val="14"/>
            <w:szCs w:val="14"/>
            <w:u w:val="single" w:color="auto"/>
            <w:color w:val="0000FF"/>
          </w:rPr>
          <w:t>Forms of restricted stock unit grant notice and restricted stock unit award agreement under the Bionano</w:t>
        </w:r>
      </w:hyperlink>
      <w:r>
        <w:rPr>
          <w:rFonts w:ascii="Times New Roman" w:cs="Times New Roman" w:eastAsia="Times New Roman" w:hAnsi="Times New Roman"/>
          <w:sz w:val="14"/>
          <w:szCs w:val="14"/>
          <w:u w:val="single" w:color="auto"/>
          <w:color w:val="0000FF"/>
        </w:rPr>
        <w:t xml:space="preserve"> </w:t>
      </w:r>
      <w:hyperlink r:id="rId112">
        <w:r>
          <w:rPr>
            <w:rFonts w:ascii="Times New Roman" w:cs="Times New Roman" w:eastAsia="Times New Roman" w:hAnsi="Times New Roman"/>
            <w:sz w:val="14"/>
            <w:szCs w:val="14"/>
            <w:u w:val="single" w:color="auto"/>
            <w:color w:val="0000FF"/>
          </w:rPr>
          <w:t>Genomics, Inc. 2018 Equity Incentive Plan (incorporated by reference to Exhibit 10.1 of the Registrant’s</w:t>
        </w:r>
      </w:hyperlink>
      <w:r>
        <w:rPr>
          <w:rFonts w:ascii="Times New Roman" w:cs="Times New Roman" w:eastAsia="Times New Roman" w:hAnsi="Times New Roman"/>
          <w:sz w:val="14"/>
          <w:szCs w:val="14"/>
          <w:u w:val="single" w:color="auto"/>
          <w:color w:val="0000FF"/>
        </w:rPr>
        <w:t xml:space="preserve"> </w:t>
      </w:r>
      <w:hyperlink r:id="rId112">
        <w:r>
          <w:rPr>
            <w:rFonts w:ascii="Times New Roman" w:cs="Times New Roman" w:eastAsia="Times New Roman" w:hAnsi="Times New Roman"/>
            <w:sz w:val="14"/>
            <w:szCs w:val="14"/>
            <w:u w:val="single" w:color="auto"/>
            <w:color w:val="0000FF"/>
          </w:rPr>
          <w:t>Quarterly Report on Form 10-Q, filed with the SEC on August 4, 2021).</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10.6F+</w:t>
      </w:r>
      <w:r>
        <w:rPr>
          <w:sz w:val="20"/>
          <w:szCs w:val="20"/>
          <w:color w:val="auto"/>
        </w:rPr>
        <w:tab/>
      </w:r>
      <w:hyperlink r:id="rId114">
        <w:r>
          <w:rPr>
            <w:rFonts w:ascii="Times New Roman" w:cs="Times New Roman" w:eastAsia="Times New Roman" w:hAnsi="Times New Roman"/>
            <w:sz w:val="14"/>
            <w:szCs w:val="14"/>
            <w:u w:val="single" w:color="auto"/>
            <w:color w:val="0000FF"/>
          </w:rPr>
          <w:t>Bionano Genomics, Inc. 2018 Employee Stock Purchase Plan (incorporated by reference to Exhibit 99.5</w:t>
        </w:r>
      </w:hyperlink>
      <w:r>
        <w:rPr>
          <w:rFonts w:ascii="Times New Roman" w:cs="Times New Roman" w:eastAsia="Times New Roman" w:hAnsi="Times New Roman"/>
          <w:sz w:val="14"/>
          <w:szCs w:val="14"/>
          <w:u w:val="single" w:color="auto"/>
          <w:color w:val="0000FF"/>
        </w:rPr>
        <w:t xml:space="preserve"> </w:t>
      </w:r>
      <w:hyperlink r:id="rId114">
        <w:r>
          <w:rPr>
            <w:rFonts w:ascii="Times New Roman" w:cs="Times New Roman" w:eastAsia="Times New Roman" w:hAnsi="Times New Roman"/>
            <w:sz w:val="14"/>
            <w:szCs w:val="14"/>
            <w:u w:val="single" w:color="auto"/>
            <w:color w:val="0000FF"/>
          </w:rPr>
          <w:t>of the Registrant’s Registration Statement on Form S-8 (File No. 333-227073), filed with the SEC on</w:t>
        </w:r>
      </w:hyperlink>
      <w:r>
        <w:rPr>
          <w:rFonts w:ascii="Times New Roman" w:cs="Times New Roman" w:eastAsia="Times New Roman" w:hAnsi="Times New Roman"/>
          <w:sz w:val="14"/>
          <w:szCs w:val="14"/>
          <w:u w:val="single" w:color="auto"/>
          <w:color w:val="0000FF"/>
        </w:rPr>
        <w:t xml:space="preserve"> </w:t>
      </w:r>
      <w:hyperlink r:id="rId114">
        <w:r>
          <w:rPr>
            <w:rFonts w:ascii="Times New Roman" w:cs="Times New Roman" w:eastAsia="Times New Roman" w:hAnsi="Times New Roman"/>
            <w:sz w:val="14"/>
            <w:szCs w:val="14"/>
            <w:u w:val="single" w:color="auto"/>
            <w:color w:val="0000FF"/>
          </w:rPr>
          <w:t>August 28, 2018).</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10.6G+</w:t>
      </w:r>
      <w:r>
        <w:rPr>
          <w:sz w:val="20"/>
          <w:szCs w:val="20"/>
          <w:color w:val="auto"/>
        </w:rPr>
        <w:tab/>
      </w:r>
      <w:hyperlink r:id="rId115">
        <w:r>
          <w:rPr>
            <w:rFonts w:ascii="Times New Roman" w:cs="Times New Roman" w:eastAsia="Times New Roman" w:hAnsi="Times New Roman"/>
            <w:sz w:val="14"/>
            <w:szCs w:val="14"/>
            <w:color w:val="0000FF"/>
          </w:rPr>
          <w:t>Bionano Genomics, Inc. 2020 Inducement Plan, as amended (incorporated by reference to Exhibit 99.3 of</w:t>
        </w:r>
      </w:hyperlink>
      <w:r>
        <w:rPr>
          <w:rFonts w:ascii="Times New Roman" w:cs="Times New Roman" w:eastAsia="Times New Roman" w:hAnsi="Times New Roman"/>
          <w:sz w:val="14"/>
          <w:szCs w:val="14"/>
          <w:color w:val="0000FF"/>
        </w:rPr>
        <w:t xml:space="preserve"> </w:t>
      </w:r>
      <w:hyperlink r:id="rId115">
        <w:r>
          <w:rPr>
            <w:rFonts w:ascii="Times New Roman" w:cs="Times New Roman" w:eastAsia="Times New Roman" w:hAnsi="Times New Roman"/>
            <w:sz w:val="14"/>
            <w:szCs w:val="14"/>
            <w:color w:val="0000FF"/>
          </w:rPr>
          <w:t>the Registrant’s Registration Statement on Form S-8 (File No. 333-286325), filed with the SEC on March</w:t>
        </w:r>
      </w:hyperlink>
      <w:r>
        <w:rPr>
          <w:rFonts w:ascii="Times New Roman" w:cs="Times New Roman" w:eastAsia="Times New Roman" w:hAnsi="Times New Roman"/>
          <w:sz w:val="14"/>
          <w:szCs w:val="14"/>
          <w:color w:val="0000FF"/>
        </w:rPr>
        <w:t xml:space="preserve"> </w:t>
      </w:r>
      <w:hyperlink r:id="rId115">
        <w:r>
          <w:rPr>
            <w:rFonts w:ascii="Times New Roman" w:cs="Times New Roman" w:eastAsia="Times New Roman" w:hAnsi="Times New Roman"/>
            <w:sz w:val="14"/>
            <w:szCs w:val="14"/>
            <w:color w:val="0000FF"/>
          </w:rPr>
          <w:t>31, 2025).</w:t>
        </w:r>
      </w:hyperlink>
    </w:p>
    <w:p>
      <w:pPr>
        <w:spacing w:after="0" w:line="20"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10.6H+</w:t>
      </w:r>
      <w:r>
        <w:rPr>
          <w:sz w:val="20"/>
          <w:szCs w:val="20"/>
          <w:color w:val="auto"/>
        </w:rPr>
        <w:tab/>
      </w:r>
      <w:hyperlink r:id="rId117">
        <w:r>
          <w:rPr>
            <w:rFonts w:ascii="Times New Roman" w:cs="Times New Roman" w:eastAsia="Times New Roman" w:hAnsi="Times New Roman"/>
            <w:sz w:val="14"/>
            <w:szCs w:val="14"/>
            <w:u w:val="single" w:color="auto"/>
            <w:color w:val="0000FF"/>
          </w:rPr>
          <w:t>Form of Stock Option Grant Notice and Stock Option Agreement under the Bionano Genomics, Inc. 2020</w:t>
        </w:r>
      </w:hyperlink>
      <w:r>
        <w:rPr>
          <w:rFonts w:ascii="Times New Roman" w:cs="Times New Roman" w:eastAsia="Times New Roman" w:hAnsi="Times New Roman"/>
          <w:sz w:val="14"/>
          <w:szCs w:val="14"/>
          <w:u w:val="single" w:color="auto"/>
          <w:color w:val="0000FF"/>
        </w:rPr>
        <w:t xml:space="preserve"> </w:t>
      </w:r>
      <w:hyperlink r:id="rId117">
        <w:r>
          <w:rPr>
            <w:rFonts w:ascii="Times New Roman" w:cs="Times New Roman" w:eastAsia="Times New Roman" w:hAnsi="Times New Roman"/>
            <w:sz w:val="14"/>
            <w:szCs w:val="14"/>
            <w:u w:val="single" w:color="auto"/>
            <w:color w:val="0000FF"/>
          </w:rPr>
          <w:t>Inducement Plan (incorporated by reference to Exhibit 10.2 of the Registrant’s Current Report on Form 8-</w:t>
        </w:r>
      </w:hyperlink>
      <w:hyperlink r:id="rId117">
        <w:r>
          <w:rPr>
            <w:rFonts w:ascii="Times New Roman" w:cs="Times New Roman" w:eastAsia="Times New Roman" w:hAnsi="Times New Roman"/>
            <w:sz w:val="14"/>
            <w:szCs w:val="14"/>
            <w:u w:val="single" w:color="auto"/>
            <w:color w:val="0000FF"/>
          </w:rPr>
          <w:t>K, filed with the SEC on August 24, 2020).</w:t>
        </w:r>
      </w:hyperlink>
    </w:p>
    <w:p>
      <w:pPr>
        <w:spacing w:after="0" w:line="2" w:lineRule="exact"/>
        <w:rPr>
          <w:rFonts w:ascii="Times New Roman" w:cs="Times New Roman" w:eastAsia="Times New Roman" w:hAnsi="Times New Roman"/>
          <w:sz w:val="14"/>
          <w:szCs w:val="14"/>
          <w:u w:val="single" w:color="auto"/>
          <w:color w:val="0000FF"/>
        </w:rPr>
      </w:pPr>
    </w:p>
    <w:p>
      <w:pPr>
        <w:ind w:left="1060"/>
        <w:spacing w:after="0"/>
        <w:tabs>
          <w:tab w:leader="none" w:pos="1800" w:val="left"/>
        </w:tabs>
        <w:rPr>
          <w:sz w:val="20"/>
          <w:szCs w:val="20"/>
          <w:color w:val="auto"/>
        </w:rPr>
      </w:pPr>
      <w:r>
        <w:rPr>
          <w:rFonts w:ascii="Times New Roman" w:cs="Times New Roman" w:eastAsia="Times New Roman" w:hAnsi="Times New Roman"/>
          <w:sz w:val="14"/>
          <w:szCs w:val="14"/>
          <w:color w:val="auto"/>
        </w:rPr>
        <w:t>10.6I+*</w:t>
      </w:r>
      <w:r>
        <w:rPr>
          <w:sz w:val="20"/>
          <w:szCs w:val="20"/>
          <w:color w:val="auto"/>
        </w:rPr>
        <w:tab/>
      </w:r>
      <w:r>
        <w:rPr>
          <w:rFonts w:ascii="Times New Roman" w:cs="Times New Roman" w:eastAsia="Times New Roman" w:hAnsi="Times New Roman"/>
          <w:sz w:val="14"/>
          <w:szCs w:val="14"/>
          <w:u w:val="single" w:color="auto"/>
          <w:color w:val="0000FF"/>
        </w:rPr>
        <w:t>Bionano Genomics, Inc. Non-Employee Director Compensation Policy.</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-100965</wp:posOffset>
            </wp:positionV>
            <wp:extent cx="4364355" cy="1085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4364355" cy="10858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119">
        <w:r>
          <w:rPr>
            <w:rFonts w:ascii="Times New Roman" w:cs="Times New Roman" w:eastAsia="Times New Roman" w:hAnsi="Times New Roman"/>
            <w:sz w:val="14"/>
            <w:szCs w:val="14"/>
            <w:u w:val="single" w:color="auto"/>
            <w:color w:val="0000FF"/>
          </w:rPr>
          <w:t>Form of Indemnification Agreement by and between the Registrant and each director and executive</w:t>
        </w:r>
      </w:hyperlink>
      <w:r>
        <w:rPr>
          <w:rFonts w:ascii="Times New Roman" w:cs="Times New Roman" w:eastAsia="Times New Roman" w:hAnsi="Times New Roman"/>
          <w:sz w:val="14"/>
          <w:szCs w:val="14"/>
          <w:u w:val="single" w:color="auto"/>
          <w:color w:val="0000FF"/>
        </w:rPr>
        <w:t xml:space="preserve"> </w:t>
      </w:r>
      <w:hyperlink r:id="rId119">
        <w:r>
          <w:rPr>
            <w:rFonts w:ascii="Times New Roman" w:cs="Times New Roman" w:eastAsia="Times New Roman" w:hAnsi="Times New Roman"/>
            <w:sz w:val="14"/>
            <w:szCs w:val="14"/>
            <w:u w:val="single" w:color="auto"/>
            <w:color w:val="0000FF"/>
          </w:rPr>
          <w:t>officer (incorporated by reference to Exhibit 10.7 of the Registrant’s Annual Report on Form 10-K, filed</w:t>
        </w:r>
      </w:hyperlink>
      <w:r>
        <w:rPr>
          <w:rFonts w:ascii="Times New Roman" w:cs="Times New Roman" w:eastAsia="Times New Roman" w:hAnsi="Times New Roman"/>
          <w:sz w:val="14"/>
          <w:szCs w:val="14"/>
          <w:u w:val="single" w:color="auto"/>
          <w:color w:val="0000FF"/>
        </w:rPr>
        <w:t xml:space="preserve"> </w:t>
      </w:r>
      <w:hyperlink r:id="rId119">
        <w:r>
          <w:rPr>
            <w:rFonts w:ascii="Times New Roman" w:cs="Times New Roman" w:eastAsia="Times New Roman" w:hAnsi="Times New Roman"/>
            <w:sz w:val="14"/>
            <w:szCs w:val="14"/>
            <w:u w:val="single" w:color="auto"/>
            <w:color w:val="0000FF"/>
          </w:rPr>
          <w:t>with the SEC on March 10, 2020).</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10.8+</w:t>
      </w:r>
      <w:r>
        <w:rPr>
          <w:sz w:val="20"/>
          <w:szCs w:val="20"/>
          <w:color w:val="auto"/>
        </w:rPr>
        <w:tab/>
      </w:r>
      <w:hyperlink r:id="rId120">
        <w:r>
          <w:rPr>
            <w:rFonts w:ascii="Times New Roman" w:cs="Times New Roman" w:eastAsia="Times New Roman" w:hAnsi="Times New Roman"/>
            <w:sz w:val="14"/>
            <w:szCs w:val="14"/>
            <w:color w:val="0000FF"/>
          </w:rPr>
          <w:t>Employment Agreement by and between the Registrant and R. Erik Holmlin, Ph.D., dated November 7,</w:t>
        </w:r>
      </w:hyperlink>
      <w:r>
        <w:rPr>
          <w:rFonts w:ascii="Times New Roman" w:cs="Times New Roman" w:eastAsia="Times New Roman" w:hAnsi="Times New Roman"/>
          <w:sz w:val="14"/>
          <w:szCs w:val="14"/>
          <w:color w:val="0000FF"/>
        </w:rPr>
        <w:t xml:space="preserve"> </w:t>
      </w:r>
      <w:hyperlink r:id="rId120">
        <w:r>
          <w:rPr>
            <w:rFonts w:ascii="Times New Roman" w:cs="Times New Roman" w:eastAsia="Times New Roman" w:hAnsi="Times New Roman"/>
            <w:sz w:val="14"/>
            <w:szCs w:val="14"/>
            <w:color w:val="0000FF"/>
          </w:rPr>
          <w:t>2017, as amended (incorporated by reference to the Company’s Registration Statement on Form S-1 (File</w:t>
        </w:r>
      </w:hyperlink>
      <w:r>
        <w:rPr>
          <w:rFonts w:ascii="Times New Roman" w:cs="Times New Roman" w:eastAsia="Times New Roman" w:hAnsi="Times New Roman"/>
          <w:sz w:val="14"/>
          <w:szCs w:val="14"/>
          <w:color w:val="0000FF"/>
        </w:rPr>
        <w:t xml:space="preserve"> </w:t>
      </w:r>
      <w:hyperlink r:id="rId120">
        <w:r>
          <w:rPr>
            <w:rFonts w:ascii="Times New Roman" w:cs="Times New Roman" w:eastAsia="Times New Roman" w:hAnsi="Times New Roman"/>
            <w:sz w:val="14"/>
            <w:szCs w:val="14"/>
            <w:color w:val="0000FF"/>
          </w:rPr>
          <w:t>No. 333-225970), as amended).</w:t>
        </w:r>
      </w:hyperlink>
    </w:p>
    <w:p>
      <w:pPr>
        <w:spacing w:after="0" w:line="20"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w:t>
      </w:r>
      <w:r>
        <w:rPr>
          <w:sz w:val="20"/>
          <w:szCs w:val="20"/>
          <w:color w:val="auto"/>
        </w:rPr>
        <w:tab/>
      </w:r>
      <w:hyperlink r:id="rId122">
        <w:r>
          <w:rPr>
            <w:rFonts w:ascii="Times New Roman" w:cs="Times New Roman" w:eastAsia="Times New Roman" w:hAnsi="Times New Roman"/>
            <w:sz w:val="14"/>
            <w:szCs w:val="14"/>
            <w:u w:val="single" w:color="auto"/>
            <w:color w:val="0000FF"/>
          </w:rPr>
          <w:t>Consulting Agreement by and between the Registrant and R. Erik Holmlin, Ph.D., dated May 6, 2026</w:t>
        </w:r>
      </w:hyperlink>
      <w:r>
        <w:rPr>
          <w:rFonts w:ascii="Times New Roman" w:cs="Times New Roman" w:eastAsia="Times New Roman" w:hAnsi="Times New Roman"/>
          <w:sz w:val="14"/>
          <w:szCs w:val="14"/>
          <w:u w:val="single" w:color="auto"/>
          <w:color w:val="0000FF"/>
        </w:rPr>
        <w:t xml:space="preserve"> </w:t>
      </w:r>
      <w:hyperlink r:id="rId122">
        <w:r>
          <w:rPr>
            <w:rFonts w:ascii="Times New Roman" w:cs="Times New Roman" w:eastAsia="Times New Roman" w:hAnsi="Times New Roman"/>
            <w:sz w:val="14"/>
            <w:szCs w:val="14"/>
            <w:u w:val="single" w:color="auto"/>
            <w:color w:val="0000FF"/>
          </w:rPr>
          <w:t>(incorporated by reference to Exhibit 10.2 of the Registrant’s Quarterly Report on Form 10-Q, filed with</w:t>
        </w:r>
      </w:hyperlink>
      <w:r>
        <w:rPr>
          <w:rFonts w:ascii="Times New Roman" w:cs="Times New Roman" w:eastAsia="Times New Roman" w:hAnsi="Times New Roman"/>
          <w:sz w:val="14"/>
          <w:szCs w:val="14"/>
          <w:u w:val="single" w:color="auto"/>
          <w:color w:val="0000FF"/>
        </w:rPr>
        <w:t xml:space="preserve"> </w:t>
      </w:r>
      <w:hyperlink r:id="rId122">
        <w:r>
          <w:rPr>
            <w:rFonts w:ascii="Times New Roman" w:cs="Times New Roman" w:eastAsia="Times New Roman" w:hAnsi="Times New Roman"/>
            <w:sz w:val="14"/>
            <w:szCs w:val="14"/>
            <w:u w:val="single" w:color="auto"/>
            <w:color w:val="0000FF"/>
          </w:rPr>
          <w:t>the SEC on August 10, 2026).</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10.10+</w:t>
      </w:r>
      <w:r>
        <w:rPr>
          <w:sz w:val="20"/>
          <w:szCs w:val="20"/>
          <w:color w:val="auto"/>
        </w:rPr>
        <w:tab/>
      </w:r>
      <w:hyperlink r:id="rId123">
        <w:r>
          <w:rPr>
            <w:rFonts w:ascii="Times New Roman" w:cs="Times New Roman" w:eastAsia="Times New Roman" w:hAnsi="Times New Roman"/>
            <w:sz w:val="14"/>
            <w:szCs w:val="14"/>
            <w:u w:val="single" w:color="auto"/>
            <w:color w:val="0000FF"/>
          </w:rPr>
          <w:t>Employment Agreement by and between the Registrant and Mark Oldakowski, dated November 7, 2017</w:t>
        </w:r>
      </w:hyperlink>
      <w:r>
        <w:rPr>
          <w:rFonts w:ascii="Times New Roman" w:cs="Times New Roman" w:eastAsia="Times New Roman" w:hAnsi="Times New Roman"/>
          <w:sz w:val="14"/>
          <w:szCs w:val="14"/>
          <w:u w:val="single" w:color="auto"/>
          <w:color w:val="0000FF"/>
        </w:rPr>
        <w:t xml:space="preserve"> </w:t>
      </w:r>
      <w:hyperlink r:id="rId123">
        <w:r>
          <w:rPr>
            <w:rFonts w:ascii="Times New Roman" w:cs="Times New Roman" w:eastAsia="Times New Roman" w:hAnsi="Times New Roman"/>
            <w:sz w:val="14"/>
            <w:szCs w:val="14"/>
            <w:u w:val="single" w:color="auto"/>
            <w:color w:val="0000FF"/>
          </w:rPr>
          <w:t>(incorporated by reference to the Company’s Registration Statement on Form S-1 (File No. 333-225970),</w:t>
        </w:r>
      </w:hyperlink>
      <w:r>
        <w:rPr>
          <w:rFonts w:ascii="Times New Roman" w:cs="Times New Roman" w:eastAsia="Times New Roman" w:hAnsi="Times New Roman"/>
          <w:sz w:val="14"/>
          <w:szCs w:val="14"/>
          <w:u w:val="single" w:color="auto"/>
          <w:color w:val="0000FF"/>
        </w:rPr>
        <w:t xml:space="preserve"> </w:t>
      </w:r>
      <w:hyperlink r:id="rId123">
        <w:r>
          <w:rPr>
            <w:rFonts w:ascii="Times New Roman" w:cs="Times New Roman" w:eastAsia="Times New Roman" w:hAnsi="Times New Roman"/>
            <w:sz w:val="14"/>
            <w:szCs w:val="14"/>
            <w:u w:val="single" w:color="auto"/>
            <w:color w:val="0000FF"/>
          </w:rPr>
          <w:t>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4">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10.11+</w:t>
      </w:r>
      <w:r>
        <w:rPr>
          <w:sz w:val="20"/>
          <w:szCs w:val="20"/>
          <w:color w:val="auto"/>
        </w:rPr>
        <w:tab/>
      </w:r>
      <w:hyperlink r:id="rId125">
        <w:r>
          <w:rPr>
            <w:rFonts w:ascii="Times New Roman" w:cs="Times New Roman" w:eastAsia="Times New Roman" w:hAnsi="Times New Roman"/>
            <w:sz w:val="14"/>
            <w:szCs w:val="14"/>
            <w:u w:val="single" w:color="auto"/>
            <w:color w:val="0000FF"/>
          </w:rPr>
          <w:t>Offer Letter by and between the Registrant and Albert A. Luderer, dated May 6, 2026 (incorporated by</w:t>
        </w:r>
      </w:hyperlink>
      <w:r>
        <w:rPr>
          <w:rFonts w:ascii="Times New Roman" w:cs="Times New Roman" w:eastAsia="Times New Roman" w:hAnsi="Times New Roman"/>
          <w:sz w:val="14"/>
          <w:szCs w:val="14"/>
          <w:u w:val="single" w:color="auto"/>
          <w:color w:val="0000FF"/>
        </w:rPr>
        <w:t xml:space="preserve"> </w:t>
      </w:r>
      <w:hyperlink r:id="rId125">
        <w:r>
          <w:rPr>
            <w:rFonts w:ascii="Times New Roman" w:cs="Times New Roman" w:eastAsia="Times New Roman" w:hAnsi="Times New Roman"/>
            <w:sz w:val="14"/>
            <w:szCs w:val="14"/>
            <w:u w:val="single" w:color="auto"/>
            <w:color w:val="0000FF"/>
          </w:rPr>
          <w:t>reference to Exhibit 10.1 of the Registrant’s Quarterly Report on Form 10-Q, filed with the SEC on</w:t>
        </w:r>
      </w:hyperlink>
      <w:r>
        <w:rPr>
          <w:rFonts w:ascii="Times New Roman" w:cs="Times New Roman" w:eastAsia="Times New Roman" w:hAnsi="Times New Roman"/>
          <w:sz w:val="14"/>
          <w:szCs w:val="14"/>
          <w:u w:val="single" w:color="auto"/>
          <w:color w:val="0000FF"/>
        </w:rPr>
        <w:t xml:space="preserve"> </w:t>
      </w:r>
      <w:hyperlink r:id="rId125">
        <w:r>
          <w:rPr>
            <w:rFonts w:ascii="Times New Roman" w:cs="Times New Roman" w:eastAsia="Times New Roman" w:hAnsi="Times New Roman"/>
            <w:sz w:val="14"/>
            <w:szCs w:val="14"/>
            <w:u w:val="single" w:color="auto"/>
            <w:color w:val="0000FF"/>
          </w:rPr>
          <w:t>August 10, 2026).</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w:t>
      </w:r>
      <w:r>
        <w:rPr>
          <w:sz w:val="20"/>
          <w:szCs w:val="20"/>
          <w:color w:val="auto"/>
        </w:rPr>
        <w:tab/>
      </w:r>
      <w:hyperlink r:id="rId126">
        <w:r>
          <w:rPr>
            <w:rFonts w:ascii="Times New Roman" w:cs="Times New Roman" w:eastAsia="Times New Roman" w:hAnsi="Times New Roman"/>
            <w:sz w:val="14"/>
            <w:szCs w:val="14"/>
            <w:u w:val="single" w:color="auto"/>
            <w:color w:val="0000FF"/>
          </w:rPr>
          <w:t>Lease by and between the Registrant and The Irvine Company LLC, dated January 16, 2012 (incorporated</w:t>
        </w:r>
      </w:hyperlink>
      <w:r>
        <w:rPr>
          <w:rFonts w:ascii="Times New Roman" w:cs="Times New Roman" w:eastAsia="Times New Roman" w:hAnsi="Times New Roman"/>
          <w:sz w:val="14"/>
          <w:szCs w:val="14"/>
          <w:u w:val="single" w:color="auto"/>
          <w:color w:val="0000FF"/>
        </w:rPr>
        <w:t xml:space="preserve"> </w:t>
      </w:r>
      <w:hyperlink r:id="rId126">
        <w:r>
          <w:rPr>
            <w:rFonts w:ascii="Times New Roman" w:cs="Times New Roman" w:eastAsia="Times New Roman" w:hAnsi="Times New Roman"/>
            <w:sz w:val="14"/>
            <w:szCs w:val="14"/>
            <w:u w:val="single" w:color="auto"/>
            <w:color w:val="0000FF"/>
          </w:rPr>
          <w:t>by reference to the Company’s Registration Statement on Form S-1 (File No. 333-225970),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-215265</wp:posOffset>
            </wp:positionV>
            <wp:extent cx="4364355" cy="2171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4364355" cy="217170"/>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10.12A</w:t>
      </w:r>
      <w:r>
        <w:rPr>
          <w:sz w:val="20"/>
          <w:szCs w:val="20"/>
          <w:color w:val="auto"/>
        </w:rPr>
        <w:tab/>
      </w:r>
      <w:hyperlink r:id="rId128">
        <w:r>
          <w:rPr>
            <w:rFonts w:ascii="Times New Roman" w:cs="Times New Roman" w:eastAsia="Times New Roman" w:hAnsi="Times New Roman"/>
            <w:sz w:val="14"/>
            <w:szCs w:val="14"/>
            <w:u w:val="single" w:color="auto"/>
            <w:color w:val="0000FF"/>
          </w:rPr>
          <w:t>First Amendment to the Lease by and between the Registrant and The Irvine Company LLC, dated</w:t>
        </w:r>
      </w:hyperlink>
      <w:r>
        <w:rPr>
          <w:rFonts w:ascii="Times New Roman" w:cs="Times New Roman" w:eastAsia="Times New Roman" w:hAnsi="Times New Roman"/>
          <w:sz w:val="14"/>
          <w:szCs w:val="14"/>
          <w:u w:val="single" w:color="auto"/>
          <w:color w:val="0000FF"/>
        </w:rPr>
        <w:t xml:space="preserve"> </w:t>
      </w:r>
      <w:hyperlink r:id="rId128">
        <w:r>
          <w:rPr>
            <w:rFonts w:ascii="Times New Roman" w:cs="Times New Roman" w:eastAsia="Times New Roman" w:hAnsi="Times New Roman"/>
            <w:sz w:val="14"/>
            <w:szCs w:val="14"/>
            <w:u w:val="single" w:color="auto"/>
            <w:color w:val="0000FF"/>
          </w:rPr>
          <w:t>September 10, 2013 (incorporated by reference to the Company’s Registration Statement on Form S-1</w:t>
        </w:r>
      </w:hyperlink>
      <w:r>
        <w:rPr>
          <w:rFonts w:ascii="Times New Roman" w:cs="Times New Roman" w:eastAsia="Times New Roman" w:hAnsi="Times New Roman"/>
          <w:sz w:val="14"/>
          <w:szCs w:val="14"/>
          <w:u w:val="single" w:color="auto"/>
          <w:color w:val="0000FF"/>
        </w:rPr>
        <w:t xml:space="preserve"> </w:t>
      </w:r>
      <w:hyperlink r:id="rId128">
        <w:r>
          <w:rPr>
            <w:rFonts w:ascii="Times New Roman" w:cs="Times New Roman" w:eastAsia="Times New Roman" w:hAnsi="Times New Roman"/>
            <w:sz w:val="14"/>
            <w:szCs w:val="14"/>
            <w:u w:val="single" w:color="auto"/>
            <w:color w:val="0000FF"/>
          </w:rPr>
          <w:t>(File No. 333-225970), as amended).</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10.12B</w:t>
      </w:r>
      <w:r>
        <w:rPr>
          <w:sz w:val="20"/>
          <w:szCs w:val="20"/>
          <w:color w:val="auto"/>
        </w:rPr>
        <w:tab/>
      </w:r>
      <w:hyperlink r:id="rId129">
        <w:r>
          <w:rPr>
            <w:rFonts w:ascii="Times New Roman" w:cs="Times New Roman" w:eastAsia="Times New Roman" w:hAnsi="Times New Roman"/>
            <w:sz w:val="14"/>
            <w:szCs w:val="14"/>
            <w:u w:val="single" w:color="auto"/>
            <w:color w:val="0000FF"/>
          </w:rPr>
          <w:t>Second Amendment to the Lease by and between the Registrant and The Irvine Company LLC, dated</w:t>
        </w:r>
      </w:hyperlink>
      <w:r>
        <w:rPr>
          <w:rFonts w:ascii="Times New Roman" w:cs="Times New Roman" w:eastAsia="Times New Roman" w:hAnsi="Times New Roman"/>
          <w:sz w:val="14"/>
          <w:szCs w:val="14"/>
          <w:u w:val="single" w:color="auto"/>
          <w:color w:val="0000FF"/>
        </w:rPr>
        <w:t xml:space="preserve"> </w:t>
      </w:r>
      <w:hyperlink r:id="rId129">
        <w:r>
          <w:rPr>
            <w:rFonts w:ascii="Times New Roman" w:cs="Times New Roman" w:eastAsia="Times New Roman" w:hAnsi="Times New Roman"/>
            <w:sz w:val="14"/>
            <w:szCs w:val="14"/>
            <w:u w:val="single" w:color="auto"/>
            <w:color w:val="0000FF"/>
          </w:rPr>
          <w:t>July 1, 2015 (incorporated by reference to the Company’s Registration Statement on Form S-1 (File No.</w:t>
        </w:r>
      </w:hyperlink>
      <w:r>
        <w:rPr>
          <w:rFonts w:ascii="Times New Roman" w:cs="Times New Roman" w:eastAsia="Times New Roman" w:hAnsi="Times New Roman"/>
          <w:sz w:val="14"/>
          <w:szCs w:val="14"/>
          <w:u w:val="single" w:color="auto"/>
          <w:color w:val="0000FF"/>
        </w:rPr>
        <w:t xml:space="preserve"> </w:t>
      </w:r>
      <w:hyperlink r:id="rId129">
        <w:r>
          <w:rPr>
            <w:rFonts w:ascii="Times New Roman" w:cs="Times New Roman" w:eastAsia="Times New Roman" w:hAnsi="Times New Roman"/>
            <w:sz w:val="14"/>
            <w:szCs w:val="14"/>
            <w:u w:val="single" w:color="auto"/>
            <w:color w:val="0000FF"/>
          </w:rPr>
          <w:t>333-225970),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0">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62"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10.12C</w:t>
      </w:r>
      <w:r>
        <w:rPr>
          <w:sz w:val="20"/>
          <w:szCs w:val="20"/>
          <w:color w:val="auto"/>
        </w:rPr>
        <w:tab/>
      </w:r>
      <w:hyperlink r:id="rId131">
        <w:r>
          <w:rPr>
            <w:rFonts w:ascii="Times New Roman" w:cs="Times New Roman" w:eastAsia="Times New Roman" w:hAnsi="Times New Roman"/>
            <w:sz w:val="14"/>
            <w:szCs w:val="14"/>
            <w:u w:val="single" w:color="auto"/>
            <w:color w:val="0000FF"/>
          </w:rPr>
          <w:t>Third Amendment to the Lease by and between the Registrant and The Irvine Company LLC, dated</w:t>
        </w:r>
      </w:hyperlink>
      <w:r>
        <w:rPr>
          <w:rFonts w:ascii="Times New Roman" w:cs="Times New Roman" w:eastAsia="Times New Roman" w:hAnsi="Times New Roman"/>
          <w:sz w:val="14"/>
          <w:szCs w:val="14"/>
          <w:u w:val="single" w:color="auto"/>
          <w:color w:val="0000FF"/>
        </w:rPr>
        <w:t xml:space="preserve"> </w:t>
      </w:r>
      <w:hyperlink r:id="rId131">
        <w:r>
          <w:rPr>
            <w:rFonts w:ascii="Times New Roman" w:cs="Times New Roman" w:eastAsia="Times New Roman" w:hAnsi="Times New Roman"/>
            <w:sz w:val="14"/>
            <w:szCs w:val="14"/>
            <w:u w:val="single" w:color="auto"/>
            <w:color w:val="0000FF"/>
          </w:rPr>
          <w:t>December 19, 2019 (incorporated by reference to Exhibit 10.22 of the Registrant’s Annual Report on</w:t>
        </w:r>
      </w:hyperlink>
      <w:r>
        <w:rPr>
          <w:rFonts w:ascii="Times New Roman" w:cs="Times New Roman" w:eastAsia="Times New Roman" w:hAnsi="Times New Roman"/>
          <w:sz w:val="14"/>
          <w:szCs w:val="14"/>
          <w:u w:val="single" w:color="auto"/>
          <w:color w:val="0000FF"/>
        </w:rPr>
        <w:t xml:space="preserve"> </w:t>
      </w:r>
      <w:hyperlink r:id="rId131">
        <w:r>
          <w:rPr>
            <w:rFonts w:ascii="Times New Roman" w:cs="Times New Roman" w:eastAsia="Times New Roman" w:hAnsi="Times New Roman"/>
            <w:sz w:val="14"/>
            <w:szCs w:val="14"/>
            <w:u w:val="single" w:color="auto"/>
            <w:color w:val="0000FF"/>
          </w:rPr>
          <w:t>Form 10-K, filed with the SEC on March 23, 2021).</w:t>
        </w:r>
      </w:hyperlink>
    </w:p>
    <w:p>
      <w:pPr>
        <w:spacing w:after="0" w:line="218" w:lineRule="exact"/>
        <w:rPr>
          <w:rFonts w:ascii="Times New Roman" w:cs="Times New Roman" w:eastAsia="Times New Roman" w:hAnsi="Times New Roman"/>
          <w:sz w:val="14"/>
          <w:szCs w:val="14"/>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2">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4" w:right="1440" w:bottom="1440" w:gutter="0" w:footer="0" w:header="0"/>
        </w:sectPr>
      </w:pPr>
    </w:p>
    <w:bookmarkStart w:id="33" w:name="page34"/>
    <w:bookmarkEnd w:id="33"/>
    <w:p>
      <w:pPr>
        <w:jc w:val="both"/>
        <w:ind w:left="1820" w:right="1139" w:hanging="747"/>
        <w:spacing w:after="0" w:line="261"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10.12D</w:t>
      </w:r>
      <w:r>
        <w:rPr>
          <w:sz w:val="20"/>
          <w:szCs w:val="20"/>
          <w:color w:val="auto"/>
        </w:rPr>
        <w:tab/>
      </w:r>
      <w:hyperlink r:id="rId133">
        <w:r>
          <w:rPr>
            <w:rFonts w:ascii="Times New Roman" w:cs="Times New Roman" w:eastAsia="Times New Roman" w:hAnsi="Times New Roman"/>
            <w:sz w:val="14"/>
            <w:szCs w:val="14"/>
            <w:u w:val="single" w:color="auto"/>
            <w:color w:val="0000FF"/>
          </w:rPr>
          <w:t>Fourth Amendment to the Lease by and between the Registrant and The Irvine Company LLC, dated</w:t>
        </w:r>
      </w:hyperlink>
      <w:r>
        <w:rPr>
          <w:rFonts w:ascii="Times New Roman" w:cs="Times New Roman" w:eastAsia="Times New Roman" w:hAnsi="Times New Roman"/>
          <w:sz w:val="14"/>
          <w:szCs w:val="14"/>
          <w:u w:val="single" w:color="auto"/>
          <w:color w:val="0000FF"/>
        </w:rPr>
        <w:t xml:space="preserve"> </w:t>
      </w:r>
      <w:hyperlink r:id="rId133">
        <w:r>
          <w:rPr>
            <w:rFonts w:ascii="Times New Roman" w:cs="Times New Roman" w:eastAsia="Times New Roman" w:hAnsi="Times New Roman"/>
            <w:sz w:val="14"/>
            <w:szCs w:val="14"/>
            <w:u w:val="single" w:color="auto"/>
            <w:color w:val="0000FF"/>
          </w:rPr>
          <w:t>February 15, 2021 (incorporated by reference to Exhibit 10.23 of the Registrant’s Annual Report on Form</w:t>
        </w:r>
      </w:hyperlink>
      <w:r>
        <w:rPr>
          <w:rFonts w:ascii="Times New Roman" w:cs="Times New Roman" w:eastAsia="Times New Roman" w:hAnsi="Times New Roman"/>
          <w:sz w:val="14"/>
          <w:szCs w:val="14"/>
          <w:u w:val="single" w:color="auto"/>
          <w:color w:val="0000FF"/>
        </w:rPr>
        <w:t xml:space="preserve"> </w:t>
      </w:r>
      <w:hyperlink r:id="rId133">
        <w:r>
          <w:rPr>
            <w:rFonts w:ascii="Times New Roman" w:cs="Times New Roman" w:eastAsia="Times New Roman" w:hAnsi="Times New Roman"/>
            <w:sz w:val="14"/>
            <w:szCs w:val="14"/>
            <w:u w:val="single" w:color="auto"/>
            <w:color w:val="0000FF"/>
          </w:rPr>
          <w:t>10-K, filed with the SEC on March 23, 2021).</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-323850</wp:posOffset>
            </wp:positionV>
            <wp:extent cx="4364355" cy="3257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10.12E</w:t>
      </w:r>
      <w:r>
        <w:rPr>
          <w:sz w:val="20"/>
          <w:szCs w:val="20"/>
          <w:color w:val="auto"/>
        </w:rPr>
        <w:tab/>
      </w:r>
      <w:hyperlink r:id="rId135">
        <w:r>
          <w:rPr>
            <w:rFonts w:ascii="Times New Roman" w:cs="Times New Roman" w:eastAsia="Times New Roman" w:hAnsi="Times New Roman"/>
            <w:sz w:val="14"/>
            <w:szCs w:val="14"/>
            <w:u w:val="single" w:color="auto"/>
            <w:color w:val="0000FF"/>
          </w:rPr>
          <w:t>Fifth Amendment to the Lease by and between the Registrant and The Irvine Company, LLC, dated</w:t>
        </w:r>
      </w:hyperlink>
      <w:r>
        <w:rPr>
          <w:rFonts w:ascii="Times New Roman" w:cs="Times New Roman" w:eastAsia="Times New Roman" w:hAnsi="Times New Roman"/>
          <w:sz w:val="14"/>
          <w:szCs w:val="14"/>
          <w:u w:val="single" w:color="auto"/>
          <w:color w:val="0000FF"/>
        </w:rPr>
        <w:t xml:space="preserve"> </w:t>
      </w:r>
      <w:hyperlink r:id="rId135">
        <w:r>
          <w:rPr>
            <w:rFonts w:ascii="Times New Roman" w:cs="Times New Roman" w:eastAsia="Times New Roman" w:hAnsi="Times New Roman"/>
            <w:sz w:val="14"/>
            <w:szCs w:val="14"/>
            <w:u w:val="single" w:color="auto"/>
            <w:color w:val="0000FF"/>
          </w:rPr>
          <w:t>January 12, 2022. (incorporated by reference to Exhibit 10.39 of the Registrant’s Annual Report on Form</w:t>
        </w:r>
      </w:hyperlink>
      <w:r>
        <w:rPr>
          <w:rFonts w:ascii="Times New Roman" w:cs="Times New Roman" w:eastAsia="Times New Roman" w:hAnsi="Times New Roman"/>
          <w:sz w:val="14"/>
          <w:szCs w:val="14"/>
          <w:u w:val="single" w:color="auto"/>
          <w:color w:val="0000FF"/>
        </w:rPr>
        <w:t xml:space="preserve"> </w:t>
      </w:r>
      <w:hyperlink r:id="rId135">
        <w:r>
          <w:rPr>
            <w:rFonts w:ascii="Times New Roman" w:cs="Times New Roman" w:eastAsia="Times New Roman" w:hAnsi="Times New Roman"/>
            <w:sz w:val="14"/>
            <w:szCs w:val="14"/>
            <w:u w:val="single" w:color="auto"/>
            <w:color w:val="0000FF"/>
          </w:rPr>
          <w:t>10-K, filed with the SEC on March 1, 2022).</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10.12F</w:t>
      </w:r>
      <w:r>
        <w:rPr>
          <w:sz w:val="20"/>
          <w:szCs w:val="20"/>
          <w:color w:val="auto"/>
        </w:rPr>
        <w:tab/>
      </w:r>
      <w:hyperlink r:id="rId136">
        <w:r>
          <w:rPr>
            <w:rFonts w:ascii="Times New Roman" w:cs="Times New Roman" w:eastAsia="Times New Roman" w:hAnsi="Times New Roman"/>
            <w:sz w:val="14"/>
            <w:szCs w:val="14"/>
            <w:color w:val="0000FF"/>
          </w:rPr>
          <w:t>Sixth Amendment to the Lease by and between the Registrant and The Irvine Company, LLC, dated June</w:t>
        </w:r>
      </w:hyperlink>
      <w:r>
        <w:rPr>
          <w:rFonts w:ascii="Times New Roman" w:cs="Times New Roman" w:eastAsia="Times New Roman" w:hAnsi="Times New Roman"/>
          <w:sz w:val="14"/>
          <w:szCs w:val="14"/>
          <w:color w:val="0000FF"/>
        </w:rPr>
        <w:t xml:space="preserve"> </w:t>
      </w:r>
      <w:hyperlink r:id="rId136">
        <w:r>
          <w:rPr>
            <w:rFonts w:ascii="Times New Roman" w:cs="Times New Roman" w:eastAsia="Times New Roman" w:hAnsi="Times New Roman"/>
            <w:sz w:val="14"/>
            <w:szCs w:val="14"/>
            <w:color w:val="0000FF"/>
          </w:rPr>
          <w:t>27, 2025 (incorporated by reference to Exhibit 10.1 to the Registrant’s Quarterly Report on Form 10-Q,</w:t>
        </w:r>
      </w:hyperlink>
      <w:r>
        <w:rPr>
          <w:rFonts w:ascii="Times New Roman" w:cs="Times New Roman" w:eastAsia="Times New Roman" w:hAnsi="Times New Roman"/>
          <w:sz w:val="14"/>
          <w:szCs w:val="14"/>
          <w:color w:val="0000FF"/>
        </w:rPr>
        <w:t xml:space="preserve"> </w:t>
      </w:r>
      <w:hyperlink r:id="rId136">
        <w:r>
          <w:rPr>
            <w:rFonts w:ascii="Times New Roman" w:cs="Times New Roman" w:eastAsia="Times New Roman" w:hAnsi="Times New Roman"/>
            <w:sz w:val="14"/>
            <w:szCs w:val="14"/>
            <w:color w:val="0000FF"/>
          </w:rPr>
          <w:t>filed with the SEC on August 14, 2025).</w:t>
        </w:r>
      </w:hyperlink>
    </w:p>
    <w:p>
      <w:pPr>
        <w:spacing w:after="0" w:line="20"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10.13</w:t>
      </w:r>
      <w:r>
        <w:rPr>
          <w:sz w:val="20"/>
          <w:szCs w:val="20"/>
          <w:color w:val="auto"/>
        </w:rPr>
        <w:tab/>
      </w:r>
      <w:hyperlink r:id="rId138">
        <w:r>
          <w:rPr>
            <w:rFonts w:ascii="Times New Roman" w:cs="Times New Roman" w:eastAsia="Times New Roman" w:hAnsi="Times New Roman"/>
            <w:sz w:val="14"/>
            <w:szCs w:val="14"/>
            <w:u w:val="single" w:color="auto"/>
            <w:color w:val="0000FF"/>
          </w:rPr>
          <w:t>Standard Industrial/Commercial Single-Tenant Lease, made effective as of November 23, 2021, by and</w:t>
        </w:r>
      </w:hyperlink>
      <w:r>
        <w:rPr>
          <w:rFonts w:ascii="Times New Roman" w:cs="Times New Roman" w:eastAsia="Times New Roman" w:hAnsi="Times New Roman"/>
          <w:sz w:val="14"/>
          <w:szCs w:val="14"/>
          <w:u w:val="single" w:color="auto"/>
          <w:color w:val="0000FF"/>
        </w:rPr>
        <w:t xml:space="preserve"> </w:t>
      </w:r>
      <w:hyperlink r:id="rId138">
        <w:r>
          <w:rPr>
            <w:rFonts w:ascii="Times New Roman" w:cs="Times New Roman" w:eastAsia="Times New Roman" w:hAnsi="Times New Roman"/>
            <w:sz w:val="14"/>
            <w:szCs w:val="14"/>
            <w:u w:val="single" w:color="auto"/>
            <w:color w:val="0000FF"/>
          </w:rPr>
          <w:t>between the Company and 6777 Nancy Ridge LLC (incorporated by reference to Exhibit 10.33 of the</w:t>
        </w:r>
      </w:hyperlink>
      <w:r>
        <w:rPr>
          <w:rFonts w:ascii="Times New Roman" w:cs="Times New Roman" w:eastAsia="Times New Roman" w:hAnsi="Times New Roman"/>
          <w:sz w:val="14"/>
          <w:szCs w:val="14"/>
          <w:u w:val="single" w:color="auto"/>
          <w:color w:val="0000FF"/>
        </w:rPr>
        <w:t xml:space="preserve"> </w:t>
      </w:r>
      <w:hyperlink r:id="rId138">
        <w:r>
          <w:rPr>
            <w:rFonts w:ascii="Times New Roman" w:cs="Times New Roman" w:eastAsia="Times New Roman" w:hAnsi="Times New Roman"/>
            <w:sz w:val="14"/>
            <w:szCs w:val="14"/>
            <w:u w:val="single" w:color="auto"/>
            <w:color w:val="0000FF"/>
          </w:rPr>
          <w:t>Registrant’s Annual Report on Form 10-K, filed with the SEC on March 1, 2022).</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10.14</w:t>
      </w:r>
      <w:r>
        <w:rPr>
          <w:sz w:val="20"/>
          <w:szCs w:val="20"/>
          <w:color w:val="auto"/>
        </w:rPr>
        <w:tab/>
      </w:r>
      <w:hyperlink r:id="rId139">
        <w:r>
          <w:rPr>
            <w:rFonts w:ascii="Times New Roman" w:cs="Times New Roman" w:eastAsia="Times New Roman" w:hAnsi="Times New Roman"/>
            <w:sz w:val="14"/>
            <w:szCs w:val="14"/>
            <w:u w:val="single" w:color="auto"/>
            <w:color w:val="0000FF"/>
          </w:rPr>
          <w:t>Commercial Single-Tenant Lease - Net, dated February 28, 2016, by and between Tesa Beach LLC and</w:t>
        </w:r>
      </w:hyperlink>
      <w:r>
        <w:rPr>
          <w:rFonts w:ascii="Times New Roman" w:cs="Times New Roman" w:eastAsia="Times New Roman" w:hAnsi="Times New Roman"/>
          <w:sz w:val="14"/>
          <w:szCs w:val="14"/>
          <w:u w:val="single" w:color="auto"/>
          <w:color w:val="0000FF"/>
        </w:rPr>
        <w:t xml:space="preserve"> </w:t>
      </w:r>
      <w:hyperlink r:id="rId139">
        <w:r>
          <w:rPr>
            <w:rFonts w:ascii="Times New Roman" w:cs="Times New Roman" w:eastAsia="Times New Roman" w:hAnsi="Times New Roman"/>
            <w:sz w:val="14"/>
            <w:szCs w:val="14"/>
            <w:u w:val="single" w:color="auto"/>
            <w:color w:val="0000FF"/>
          </w:rPr>
          <w:t>BioDiscovery, Inc. (incorporated by reference to Exhibit 10.38 of the Registrant’s Annual Report on</w:t>
        </w:r>
      </w:hyperlink>
      <w:r>
        <w:rPr>
          <w:rFonts w:ascii="Times New Roman" w:cs="Times New Roman" w:eastAsia="Times New Roman" w:hAnsi="Times New Roman"/>
          <w:sz w:val="14"/>
          <w:szCs w:val="14"/>
          <w:u w:val="single" w:color="auto"/>
          <w:color w:val="0000FF"/>
        </w:rPr>
        <w:t xml:space="preserve"> </w:t>
      </w:r>
      <w:hyperlink r:id="rId139">
        <w:r>
          <w:rPr>
            <w:rFonts w:ascii="Times New Roman" w:cs="Times New Roman" w:eastAsia="Times New Roman" w:hAnsi="Times New Roman"/>
            <w:sz w:val="14"/>
            <w:szCs w:val="14"/>
            <w:u w:val="single" w:color="auto"/>
            <w:color w:val="0000FF"/>
          </w:rPr>
          <w:t>Form 10-K, filed with the SEC on March 1, 2022).</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0">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10.15</w:t>
      </w:r>
      <w:r>
        <w:rPr>
          <w:sz w:val="20"/>
          <w:szCs w:val="20"/>
          <w:color w:val="auto"/>
        </w:rPr>
        <w:tab/>
      </w:r>
      <w:hyperlink r:id="rId141">
        <w:r>
          <w:rPr>
            <w:rFonts w:ascii="Times New Roman" w:cs="Times New Roman" w:eastAsia="Times New Roman" w:hAnsi="Times New Roman"/>
            <w:sz w:val="14"/>
            <w:szCs w:val="14"/>
            <w:u w:val="single" w:color="auto"/>
            <w:color w:val="0000FF"/>
          </w:rPr>
          <w:t>At the Market Offering Agreement, dated February 21, 2025, by and between the Company and H.C.</w:t>
        </w:r>
      </w:hyperlink>
      <w:r>
        <w:rPr>
          <w:rFonts w:ascii="Times New Roman" w:cs="Times New Roman" w:eastAsia="Times New Roman" w:hAnsi="Times New Roman"/>
          <w:sz w:val="14"/>
          <w:szCs w:val="14"/>
          <w:u w:val="single" w:color="auto"/>
          <w:color w:val="0000FF"/>
        </w:rPr>
        <w:t xml:space="preserve"> </w:t>
      </w:r>
      <w:hyperlink r:id="rId141">
        <w:r>
          <w:rPr>
            <w:rFonts w:ascii="Times New Roman" w:cs="Times New Roman" w:eastAsia="Times New Roman" w:hAnsi="Times New Roman"/>
            <w:sz w:val="14"/>
            <w:szCs w:val="14"/>
            <w:u w:val="single" w:color="auto"/>
            <w:color w:val="0000FF"/>
          </w:rPr>
          <w:t>Wainwright &amp; Co, LLC (incorporated by reference to Exhibit 10.1 of the Registrant’s Current Report on</w:t>
        </w:r>
      </w:hyperlink>
      <w:r>
        <w:rPr>
          <w:rFonts w:ascii="Times New Roman" w:cs="Times New Roman" w:eastAsia="Times New Roman" w:hAnsi="Times New Roman"/>
          <w:sz w:val="14"/>
          <w:szCs w:val="14"/>
          <w:u w:val="single" w:color="auto"/>
          <w:color w:val="0000FF"/>
        </w:rPr>
        <w:t xml:space="preserve"> </w:t>
      </w:r>
      <w:hyperlink r:id="rId141">
        <w:r>
          <w:rPr>
            <w:rFonts w:ascii="Times New Roman" w:cs="Times New Roman" w:eastAsia="Times New Roman" w:hAnsi="Times New Roman"/>
            <w:sz w:val="14"/>
            <w:szCs w:val="14"/>
            <w:u w:val="single" w:color="auto"/>
            <w:color w:val="0000FF"/>
          </w:rPr>
          <w:t>Form 8-K filed with the SEC on February 21, 2025).</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10.16#</w:t>
      </w:r>
      <w:r>
        <w:rPr>
          <w:sz w:val="20"/>
          <w:szCs w:val="20"/>
          <w:color w:val="auto"/>
        </w:rPr>
        <w:tab/>
      </w:r>
      <w:hyperlink r:id="rId142">
        <w:r>
          <w:rPr>
            <w:rFonts w:ascii="Times New Roman" w:cs="Times New Roman" w:eastAsia="Times New Roman" w:hAnsi="Times New Roman"/>
            <w:sz w:val="14"/>
            <w:szCs w:val="14"/>
            <w:u w:val="single" w:color="auto"/>
            <w:color w:val="0000FF"/>
          </w:rPr>
          <w:t>Manufacturing Services Agreement by and between the Registrant and Paramit Corporation, dated</w:t>
        </w:r>
      </w:hyperlink>
      <w:r>
        <w:rPr>
          <w:rFonts w:ascii="Times New Roman" w:cs="Times New Roman" w:eastAsia="Times New Roman" w:hAnsi="Times New Roman"/>
          <w:sz w:val="14"/>
          <w:szCs w:val="14"/>
          <w:u w:val="single" w:color="auto"/>
          <w:color w:val="0000FF"/>
        </w:rPr>
        <w:t xml:space="preserve"> </w:t>
      </w:r>
      <w:hyperlink r:id="rId142">
        <w:r>
          <w:rPr>
            <w:rFonts w:ascii="Times New Roman" w:cs="Times New Roman" w:eastAsia="Times New Roman" w:hAnsi="Times New Roman"/>
            <w:sz w:val="14"/>
            <w:szCs w:val="14"/>
            <w:u w:val="single" w:color="auto"/>
            <w:color w:val="0000FF"/>
          </w:rPr>
          <w:t>February 18, 2015 (incorporated by reference to Exhibit 10.24 to the Company’s Registration Statement</w:t>
        </w:r>
      </w:hyperlink>
      <w:r>
        <w:rPr>
          <w:rFonts w:ascii="Times New Roman" w:cs="Times New Roman" w:eastAsia="Times New Roman" w:hAnsi="Times New Roman"/>
          <w:sz w:val="14"/>
          <w:szCs w:val="14"/>
          <w:u w:val="single" w:color="auto"/>
          <w:color w:val="0000FF"/>
        </w:rPr>
        <w:t xml:space="preserve"> </w:t>
      </w:r>
      <w:hyperlink r:id="rId142">
        <w:r>
          <w:rPr>
            <w:rFonts w:ascii="Times New Roman" w:cs="Times New Roman" w:eastAsia="Times New Roman" w:hAnsi="Times New Roman"/>
            <w:sz w:val="14"/>
            <w:szCs w:val="14"/>
            <w:u w:val="single" w:color="auto"/>
            <w:color w:val="0000FF"/>
          </w:rPr>
          <w:t>on Form S-1 (File No. 333-225970), as amended).</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3">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10.17#</w:t>
      </w:r>
      <w:r>
        <w:rPr>
          <w:sz w:val="20"/>
          <w:szCs w:val="20"/>
          <w:color w:val="auto"/>
        </w:rPr>
        <w:tab/>
      </w:r>
      <w:hyperlink r:id="rId144">
        <w:r>
          <w:rPr>
            <w:rFonts w:ascii="Times New Roman" w:cs="Times New Roman" w:eastAsia="Times New Roman" w:hAnsi="Times New Roman"/>
            <w:sz w:val="14"/>
            <w:szCs w:val="14"/>
            <w:color w:val="0000FF"/>
          </w:rPr>
          <w:t>Technology as a Service Agreement by and between the Registrant and Skywater Technology Foundry,</w:t>
        </w:r>
      </w:hyperlink>
      <w:r>
        <w:rPr>
          <w:rFonts w:ascii="Times New Roman" w:cs="Times New Roman" w:eastAsia="Times New Roman" w:hAnsi="Times New Roman"/>
          <w:sz w:val="14"/>
          <w:szCs w:val="14"/>
          <w:color w:val="0000FF"/>
        </w:rPr>
        <w:t xml:space="preserve"> </w:t>
      </w:r>
      <w:hyperlink r:id="rId144">
        <w:r>
          <w:rPr>
            <w:rFonts w:ascii="Times New Roman" w:cs="Times New Roman" w:eastAsia="Times New Roman" w:hAnsi="Times New Roman"/>
            <w:sz w:val="14"/>
            <w:szCs w:val="14"/>
            <w:color w:val="0000FF"/>
          </w:rPr>
          <w:t>Inc. dated May 21, 2025 (incorporated by reference to Exhibit 10.17 of the Registrant’s Annual Report on</w:t>
        </w:r>
      </w:hyperlink>
      <w:r>
        <w:rPr>
          <w:rFonts w:ascii="Times New Roman" w:cs="Times New Roman" w:eastAsia="Times New Roman" w:hAnsi="Times New Roman"/>
          <w:sz w:val="14"/>
          <w:szCs w:val="14"/>
          <w:color w:val="0000FF"/>
        </w:rPr>
        <w:t xml:space="preserve"> </w:t>
      </w:r>
      <w:hyperlink r:id="rId144">
        <w:r>
          <w:rPr>
            <w:rFonts w:ascii="Times New Roman" w:cs="Times New Roman" w:eastAsia="Times New Roman" w:hAnsi="Times New Roman"/>
            <w:sz w:val="14"/>
            <w:szCs w:val="14"/>
            <w:color w:val="0000FF"/>
          </w:rPr>
          <w:t>Form 10-K, filed with the SEC on March 23, 2026).</w:t>
        </w:r>
      </w:hyperlink>
    </w:p>
    <w:p>
      <w:pPr>
        <w:spacing w:after="0" w:line="20"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drawing>
          <wp:anchor simplePos="0" relativeHeight="251657728" behindDoc="1" locked="0" layoutInCell="0" allowOverlap="1">
            <wp:simplePos x="0" y="0"/>
            <wp:positionH relativeFrom="column">
              <wp:posOffset>1152525</wp:posOffset>
            </wp:positionH>
            <wp:positionV relativeFrom="paragraph">
              <wp:posOffset>-234950</wp:posOffset>
            </wp:positionV>
            <wp:extent cx="384810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5">
                      <a:extLst>
                        <a:ext uri="{28A0092B-C50C-407E-A947-70E740481C1C}"/>
                      </a:extLst>
                    </a:blip>
                    <a:srcRect/>
                    <a:stretch>
                      <a:fillRect/>
                    </a:stretch>
                  </pic:blipFill>
                  <pic:spPr bwMode="auto">
                    <a:xfrm>
                      <a:off x="0" y="0"/>
                      <a:ext cx="3848100" cy="6985"/>
                    </a:xfrm>
                    <a:prstGeom prst="rect">
                      <a:avLst/>
                    </a:prstGeom>
                    <a:noFill/>
                  </pic:spPr>
                </pic:pic>
              </a:graphicData>
            </a:graphic>
          </wp:anchor>
        </w:drawing>
        <w:drawing>
          <wp:anchor simplePos="0" relativeHeight="251657728" behindDoc="1" locked="0" layoutInCell="0" allowOverlap="1">
            <wp:simplePos x="0" y="0"/>
            <wp:positionH relativeFrom="column">
              <wp:posOffset>1152525</wp:posOffset>
            </wp:positionH>
            <wp:positionV relativeFrom="paragraph">
              <wp:posOffset>-126365</wp:posOffset>
            </wp:positionV>
            <wp:extent cx="385000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6">
                      <a:extLst>
                        <a:ext uri="{28A0092B-C50C-407E-A947-70E740481C1C}"/>
                      </a:extLst>
                    </a:blip>
                    <a:srcRect/>
                    <a:stretch>
                      <a:fillRect/>
                    </a:stretch>
                  </pic:blipFill>
                  <pic:spPr bwMode="auto">
                    <a:xfrm>
                      <a:off x="0" y="0"/>
                      <a:ext cx="3850005" cy="6985"/>
                    </a:xfrm>
                    <a:prstGeom prst="rect">
                      <a:avLst/>
                    </a:prstGeom>
                    <a:noFill/>
                  </pic:spPr>
                </pic:pic>
              </a:graphicData>
            </a:graphic>
          </wp:anchor>
        </w:drawing>
        <w:drawing>
          <wp:anchor simplePos="0" relativeHeight="251657728" behindDoc="1" locked="0" layoutInCell="0" allowOverlap="1">
            <wp:simplePos x="0" y="0"/>
            <wp:positionH relativeFrom="column">
              <wp:posOffset>1152525</wp:posOffset>
            </wp:positionH>
            <wp:positionV relativeFrom="paragraph">
              <wp:posOffset>-17780</wp:posOffset>
            </wp:positionV>
            <wp:extent cx="188468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7">
                      <a:extLst>
                        <a:ext uri="{28A0092B-C50C-407E-A947-70E740481C1C}"/>
                      </a:extLst>
                    </a:blip>
                    <a:srcRect/>
                    <a:stretch>
                      <a:fillRect/>
                    </a:stretch>
                  </pic:blipFill>
                  <pic:spPr bwMode="auto">
                    <a:xfrm>
                      <a:off x="0" y="0"/>
                      <a:ext cx="1884680" cy="698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10.18#</w:t>
      </w:r>
      <w:r>
        <w:rPr>
          <w:sz w:val="20"/>
          <w:szCs w:val="20"/>
          <w:color w:val="auto"/>
        </w:rPr>
        <w:tab/>
      </w:r>
      <w:hyperlink r:id="rId148">
        <w:r>
          <w:rPr>
            <w:rFonts w:ascii="Times New Roman" w:cs="Times New Roman" w:eastAsia="Times New Roman" w:hAnsi="Times New Roman"/>
            <w:sz w:val="14"/>
            <w:szCs w:val="14"/>
            <w:u w:val="single" w:color="auto"/>
            <w:color w:val="0000FF"/>
          </w:rPr>
          <w:t>Supply Agreement by and between the Registrant and Teledyne MEMS (a business unit of Teledyne</w:t>
        </w:r>
      </w:hyperlink>
      <w:r>
        <w:rPr>
          <w:rFonts w:ascii="Times New Roman" w:cs="Times New Roman" w:eastAsia="Times New Roman" w:hAnsi="Times New Roman"/>
          <w:sz w:val="14"/>
          <w:szCs w:val="14"/>
          <w:u w:val="single" w:color="auto"/>
          <w:color w:val="0000FF"/>
        </w:rPr>
        <w:t xml:space="preserve"> </w:t>
      </w:r>
      <w:hyperlink r:id="rId148">
        <w:r>
          <w:rPr>
            <w:rFonts w:ascii="Times New Roman" w:cs="Times New Roman" w:eastAsia="Times New Roman" w:hAnsi="Times New Roman"/>
            <w:sz w:val="14"/>
            <w:szCs w:val="14"/>
            <w:u w:val="single" w:color="auto"/>
            <w:color w:val="0000FF"/>
          </w:rPr>
          <w:t>Digital Imaging, Inc., dated August 8, 2025 (incorporated by reference to Exhibit 10.18 of the</w:t>
        </w:r>
      </w:hyperlink>
      <w:r>
        <w:rPr>
          <w:rFonts w:ascii="Times New Roman" w:cs="Times New Roman" w:eastAsia="Times New Roman" w:hAnsi="Times New Roman"/>
          <w:sz w:val="14"/>
          <w:szCs w:val="14"/>
          <w:u w:val="single" w:color="auto"/>
          <w:color w:val="0000FF"/>
        </w:rPr>
        <w:t xml:space="preserve"> </w:t>
      </w:r>
      <w:hyperlink r:id="rId148">
        <w:r>
          <w:rPr>
            <w:rFonts w:ascii="Times New Roman" w:cs="Times New Roman" w:eastAsia="Times New Roman" w:hAnsi="Times New Roman"/>
            <w:sz w:val="14"/>
            <w:szCs w:val="14"/>
            <w:u w:val="single" w:color="auto"/>
            <w:color w:val="0000FF"/>
          </w:rPr>
          <w:t>Registrant’s Annual Report on Form 10-K, filed with the SEC on March 23, 2026).</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9">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5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10.19^</w:t>
      </w:r>
      <w:r>
        <w:rPr>
          <w:sz w:val="20"/>
          <w:szCs w:val="20"/>
          <w:color w:val="auto"/>
        </w:rPr>
        <w:tab/>
      </w:r>
      <w:hyperlink r:id="rId150">
        <w:r>
          <w:rPr>
            <w:rFonts w:ascii="Times New Roman" w:cs="Times New Roman" w:eastAsia="Times New Roman" w:hAnsi="Times New Roman"/>
            <w:sz w:val="14"/>
            <w:szCs w:val="14"/>
            <w:u w:val="single" w:color="auto"/>
            <w:color w:val="0000FF"/>
          </w:rPr>
          <w:t>Securities Purchase Agreement, dated October 11, 2023, by and among the Company and the Purchaser</w:t>
        </w:r>
      </w:hyperlink>
      <w:r>
        <w:rPr>
          <w:rFonts w:ascii="Times New Roman" w:cs="Times New Roman" w:eastAsia="Times New Roman" w:hAnsi="Times New Roman"/>
          <w:sz w:val="14"/>
          <w:szCs w:val="14"/>
          <w:u w:val="single" w:color="auto"/>
          <w:color w:val="0000FF"/>
        </w:rPr>
        <w:t xml:space="preserve"> </w:t>
      </w:r>
      <w:hyperlink r:id="rId150">
        <w:r>
          <w:rPr>
            <w:rFonts w:ascii="Times New Roman" w:cs="Times New Roman" w:eastAsia="Times New Roman" w:hAnsi="Times New Roman"/>
            <w:sz w:val="14"/>
            <w:szCs w:val="14"/>
            <w:u w:val="single" w:color="auto"/>
            <w:color w:val="0000FF"/>
          </w:rPr>
          <w:t>named therein (incorporated by reference to Exhibit 10.1 to the Registrant’s Current Report on Form 8-K,</w:t>
        </w:r>
      </w:hyperlink>
      <w:r>
        <w:rPr>
          <w:rFonts w:ascii="Times New Roman" w:cs="Times New Roman" w:eastAsia="Times New Roman" w:hAnsi="Times New Roman"/>
          <w:sz w:val="14"/>
          <w:szCs w:val="14"/>
          <w:u w:val="single" w:color="auto"/>
          <w:color w:val="0000FF"/>
        </w:rPr>
        <w:t xml:space="preserve"> </w:t>
      </w:r>
      <w:hyperlink r:id="rId150">
        <w:r>
          <w:rPr>
            <w:rFonts w:ascii="Times New Roman" w:cs="Times New Roman" w:eastAsia="Times New Roman" w:hAnsi="Times New Roman"/>
            <w:sz w:val="14"/>
            <w:szCs w:val="14"/>
            <w:u w:val="single" w:color="auto"/>
            <w:color w:val="0000FF"/>
          </w:rPr>
          <w:t>filed with the SEC on October 11, 2023).</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10.20^</w:t>
      </w:r>
      <w:r>
        <w:rPr>
          <w:sz w:val="20"/>
          <w:szCs w:val="20"/>
          <w:color w:val="auto"/>
        </w:rPr>
        <w:tab/>
      </w:r>
      <w:hyperlink r:id="rId151">
        <w:r>
          <w:rPr>
            <w:rFonts w:ascii="Times New Roman" w:cs="Times New Roman" w:eastAsia="Times New Roman" w:hAnsi="Times New Roman"/>
            <w:sz w:val="14"/>
            <w:szCs w:val="14"/>
            <w:u w:val="single" w:color="auto"/>
            <w:color w:val="0000FF"/>
          </w:rPr>
          <w:t>Letter Agreement between the Company and the Purchaser named therein, dated February 27, 2024</w:t>
        </w:r>
      </w:hyperlink>
      <w:r>
        <w:rPr>
          <w:rFonts w:ascii="Times New Roman" w:cs="Times New Roman" w:eastAsia="Times New Roman" w:hAnsi="Times New Roman"/>
          <w:sz w:val="14"/>
          <w:szCs w:val="14"/>
          <w:u w:val="single" w:color="auto"/>
          <w:color w:val="0000FF"/>
        </w:rPr>
        <w:t xml:space="preserve"> </w:t>
      </w:r>
      <w:hyperlink r:id="rId151">
        <w:r>
          <w:rPr>
            <w:rFonts w:ascii="Times New Roman" w:cs="Times New Roman" w:eastAsia="Times New Roman" w:hAnsi="Times New Roman"/>
            <w:sz w:val="14"/>
            <w:szCs w:val="14"/>
            <w:u w:val="single" w:color="auto"/>
            <w:color w:val="0000FF"/>
          </w:rPr>
          <w:t>(incorporated by reference to Exhibit 10.1 to the Registrant’s Current Report on Form 8-K, filed with the</w:t>
        </w:r>
      </w:hyperlink>
      <w:r>
        <w:rPr>
          <w:rFonts w:ascii="Times New Roman" w:cs="Times New Roman" w:eastAsia="Times New Roman" w:hAnsi="Times New Roman"/>
          <w:sz w:val="14"/>
          <w:szCs w:val="14"/>
          <w:u w:val="single" w:color="auto"/>
          <w:color w:val="0000FF"/>
        </w:rPr>
        <w:t xml:space="preserve"> </w:t>
      </w:r>
      <w:hyperlink r:id="rId151">
        <w:r>
          <w:rPr>
            <w:rFonts w:ascii="Times New Roman" w:cs="Times New Roman" w:eastAsia="Times New Roman" w:hAnsi="Times New Roman"/>
            <w:sz w:val="14"/>
            <w:szCs w:val="14"/>
            <w:u w:val="single" w:color="auto"/>
            <w:color w:val="0000FF"/>
          </w:rPr>
          <w:t>SEC on February 28, 2024).</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2">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10.21</w:t>
      </w:r>
      <w:r>
        <w:rPr>
          <w:sz w:val="20"/>
          <w:szCs w:val="20"/>
          <w:color w:val="auto"/>
        </w:rPr>
        <w:tab/>
      </w:r>
      <w:hyperlink r:id="rId153">
        <w:r>
          <w:rPr>
            <w:rFonts w:ascii="Times New Roman" w:cs="Times New Roman" w:eastAsia="Times New Roman" w:hAnsi="Times New Roman"/>
            <w:sz w:val="14"/>
            <w:szCs w:val="14"/>
            <w:color w:val="0000FF"/>
          </w:rPr>
          <w:t>Separation Agreement, effective as of February 20, 2025, by and between Gülsen Kama and the Company</w:t>
        </w:r>
      </w:hyperlink>
      <w:r>
        <w:rPr>
          <w:rFonts w:ascii="Times New Roman" w:cs="Times New Roman" w:eastAsia="Times New Roman" w:hAnsi="Times New Roman"/>
          <w:sz w:val="14"/>
          <w:szCs w:val="14"/>
          <w:color w:val="0000FF"/>
        </w:rPr>
        <w:t xml:space="preserve"> </w:t>
      </w:r>
      <w:hyperlink r:id="rId153">
        <w:r>
          <w:rPr>
            <w:rFonts w:ascii="Times New Roman" w:cs="Times New Roman" w:eastAsia="Times New Roman" w:hAnsi="Times New Roman"/>
            <w:sz w:val="14"/>
            <w:szCs w:val="14"/>
            <w:color w:val="0000FF"/>
          </w:rPr>
          <w:t>(incorporated by reference to Exhibit 10.19 to the Registrant's Annual Report on Form 10-K, filed with</w:t>
        </w:r>
      </w:hyperlink>
      <w:r>
        <w:rPr>
          <w:rFonts w:ascii="Times New Roman" w:cs="Times New Roman" w:eastAsia="Times New Roman" w:hAnsi="Times New Roman"/>
          <w:sz w:val="14"/>
          <w:szCs w:val="14"/>
          <w:color w:val="0000FF"/>
        </w:rPr>
        <w:t xml:space="preserve"> </w:t>
      </w:r>
      <w:hyperlink r:id="rId153">
        <w:r>
          <w:rPr>
            <w:rFonts w:ascii="Times New Roman" w:cs="Times New Roman" w:eastAsia="Times New Roman" w:hAnsi="Times New Roman"/>
            <w:sz w:val="14"/>
            <w:szCs w:val="14"/>
            <w:color w:val="0000FF"/>
          </w:rPr>
          <w:t>the SEC on March 31, 2025).</w:t>
        </w:r>
      </w:hyperlink>
    </w:p>
    <w:p>
      <w:pPr>
        <w:spacing w:after="0" w:line="20"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drawing>
          <wp:anchor simplePos="0" relativeHeight="251657728" behindDoc="1" locked="0" layoutInCell="0" allowOverlap="1">
            <wp:simplePos x="0" y="0"/>
            <wp:positionH relativeFrom="column">
              <wp:posOffset>1152525</wp:posOffset>
            </wp:positionH>
            <wp:positionV relativeFrom="paragraph">
              <wp:posOffset>-234950</wp:posOffset>
            </wp:positionV>
            <wp:extent cx="384873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4">
                      <a:extLst>
                        <a:ext uri="{28A0092B-C50C-407E-A947-70E740481C1C}"/>
                      </a:extLst>
                    </a:blip>
                    <a:srcRect/>
                    <a:stretch>
                      <a:fillRect/>
                    </a:stretch>
                  </pic:blipFill>
                  <pic:spPr bwMode="auto">
                    <a:xfrm>
                      <a:off x="0" y="0"/>
                      <a:ext cx="3848735" cy="6985"/>
                    </a:xfrm>
                    <a:prstGeom prst="rect">
                      <a:avLst/>
                    </a:prstGeom>
                    <a:noFill/>
                  </pic:spPr>
                </pic:pic>
              </a:graphicData>
            </a:graphic>
          </wp:anchor>
        </w:drawing>
        <w:drawing>
          <wp:anchor simplePos="0" relativeHeight="251657728" behindDoc="1" locked="0" layoutInCell="0" allowOverlap="1">
            <wp:simplePos x="0" y="0"/>
            <wp:positionH relativeFrom="column">
              <wp:posOffset>1152525</wp:posOffset>
            </wp:positionH>
            <wp:positionV relativeFrom="paragraph">
              <wp:posOffset>-126365</wp:posOffset>
            </wp:positionV>
            <wp:extent cx="384746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5">
                      <a:extLst>
                        <a:ext uri="{28A0092B-C50C-407E-A947-70E740481C1C}"/>
                      </a:extLst>
                    </a:blip>
                    <a:srcRect/>
                    <a:stretch>
                      <a:fillRect/>
                    </a:stretch>
                  </pic:blipFill>
                  <pic:spPr bwMode="auto">
                    <a:xfrm>
                      <a:off x="0" y="0"/>
                      <a:ext cx="3847465" cy="6985"/>
                    </a:xfrm>
                    <a:prstGeom prst="rect">
                      <a:avLst/>
                    </a:prstGeom>
                    <a:noFill/>
                  </pic:spPr>
                </pic:pic>
              </a:graphicData>
            </a:graphic>
          </wp:anchor>
        </w:drawing>
        <w:drawing>
          <wp:anchor simplePos="0" relativeHeight="251657728" behindDoc="1" locked="0" layoutInCell="0" allowOverlap="1">
            <wp:simplePos x="0" y="0"/>
            <wp:positionH relativeFrom="column">
              <wp:posOffset>1152525</wp:posOffset>
            </wp:positionH>
            <wp:positionV relativeFrom="paragraph">
              <wp:posOffset>-17780</wp:posOffset>
            </wp:positionV>
            <wp:extent cx="106299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6">
                      <a:extLst>
                        <a:ext uri="{28A0092B-C50C-407E-A947-70E740481C1C}"/>
                      </a:extLst>
                    </a:blip>
                    <a:srcRect/>
                    <a:stretch>
                      <a:fillRect/>
                    </a:stretch>
                  </pic:blipFill>
                  <pic:spPr bwMode="auto">
                    <a:xfrm>
                      <a:off x="0" y="0"/>
                      <a:ext cx="1062990" cy="698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w:t>
      </w:r>
      <w:r>
        <w:rPr>
          <w:sz w:val="20"/>
          <w:szCs w:val="20"/>
          <w:color w:val="auto"/>
        </w:rPr>
        <w:tab/>
      </w:r>
      <w:hyperlink r:id="rId157">
        <w:r>
          <w:rPr>
            <w:rFonts w:ascii="Times New Roman" w:cs="Times New Roman" w:eastAsia="Times New Roman" w:hAnsi="Times New Roman"/>
            <w:sz w:val="14"/>
            <w:szCs w:val="14"/>
            <w:u w:val="single" w:color="auto"/>
            <w:color w:val="0000FF"/>
          </w:rPr>
          <w:t>Securities Purchase Agreement, dated May 24, 2024, by and among the Company and the Buyers named</w:t>
        </w:r>
      </w:hyperlink>
      <w:r>
        <w:rPr>
          <w:rFonts w:ascii="Times New Roman" w:cs="Times New Roman" w:eastAsia="Times New Roman" w:hAnsi="Times New Roman"/>
          <w:sz w:val="14"/>
          <w:szCs w:val="14"/>
          <w:u w:val="single" w:color="auto"/>
          <w:color w:val="0000FF"/>
        </w:rPr>
        <w:t xml:space="preserve"> </w:t>
      </w:r>
      <w:hyperlink r:id="rId157">
        <w:r>
          <w:rPr>
            <w:rFonts w:ascii="Times New Roman" w:cs="Times New Roman" w:eastAsia="Times New Roman" w:hAnsi="Times New Roman"/>
            <w:sz w:val="14"/>
            <w:szCs w:val="14"/>
            <w:u w:val="single" w:color="auto"/>
            <w:color w:val="0000FF"/>
          </w:rPr>
          <w:t>therein (incorporated by reference to Exhibit 10.1 to the Registrant’s Current Report on Form 8-K, filed</w:t>
        </w:r>
      </w:hyperlink>
      <w:r>
        <w:rPr>
          <w:rFonts w:ascii="Times New Roman" w:cs="Times New Roman" w:eastAsia="Times New Roman" w:hAnsi="Times New Roman"/>
          <w:sz w:val="14"/>
          <w:szCs w:val="14"/>
          <w:u w:val="single" w:color="auto"/>
          <w:color w:val="0000FF"/>
        </w:rPr>
        <w:t xml:space="preserve"> </w:t>
      </w:r>
      <w:hyperlink r:id="rId157">
        <w:r>
          <w:rPr>
            <w:rFonts w:ascii="Times New Roman" w:cs="Times New Roman" w:eastAsia="Times New Roman" w:hAnsi="Times New Roman"/>
            <w:sz w:val="14"/>
            <w:szCs w:val="14"/>
            <w:u w:val="single" w:color="auto"/>
            <w:color w:val="0000FF"/>
          </w:rPr>
          <w:t>with the SEC on May 28, 2024)</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8">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10.23^#</w:t>
      </w:r>
      <w:r>
        <w:rPr>
          <w:sz w:val="20"/>
          <w:szCs w:val="20"/>
          <w:color w:val="auto"/>
        </w:rPr>
        <w:tab/>
      </w:r>
      <w:hyperlink r:id="rId159">
        <w:r>
          <w:rPr>
            <w:rFonts w:ascii="Times New Roman" w:cs="Times New Roman" w:eastAsia="Times New Roman" w:hAnsi="Times New Roman"/>
            <w:sz w:val="14"/>
            <w:szCs w:val="14"/>
            <w:u w:val="single" w:color="auto"/>
            <w:color w:val="0000FF"/>
          </w:rPr>
          <w:t>Security Agreement, dated as of May 24, 2024, by and among the Company, BioDiscovery, LLC,</w:t>
        </w:r>
      </w:hyperlink>
      <w:r>
        <w:rPr>
          <w:rFonts w:ascii="Times New Roman" w:cs="Times New Roman" w:eastAsia="Times New Roman" w:hAnsi="Times New Roman"/>
          <w:sz w:val="14"/>
          <w:szCs w:val="14"/>
          <w:u w:val="single" w:color="auto"/>
          <w:color w:val="0000FF"/>
        </w:rPr>
        <w:t xml:space="preserve"> </w:t>
      </w:r>
      <w:hyperlink r:id="rId159">
        <w:r>
          <w:rPr>
            <w:rFonts w:ascii="Times New Roman" w:cs="Times New Roman" w:eastAsia="Times New Roman" w:hAnsi="Times New Roman"/>
            <w:sz w:val="14"/>
            <w:szCs w:val="14"/>
            <w:u w:val="single" w:color="auto"/>
            <w:color w:val="0000FF"/>
          </w:rPr>
          <w:t>Lineagen, Inc., Purigen Biosystems, Inc., and JGB Collateral LLC (incorporated by reference to Exhibit</w:t>
        </w:r>
      </w:hyperlink>
      <w:r>
        <w:rPr>
          <w:rFonts w:ascii="Times New Roman" w:cs="Times New Roman" w:eastAsia="Times New Roman" w:hAnsi="Times New Roman"/>
          <w:sz w:val="14"/>
          <w:szCs w:val="14"/>
          <w:u w:val="single" w:color="auto"/>
          <w:color w:val="0000FF"/>
        </w:rPr>
        <w:t xml:space="preserve"> </w:t>
      </w:r>
      <w:hyperlink r:id="rId159">
        <w:r>
          <w:rPr>
            <w:rFonts w:ascii="Times New Roman" w:cs="Times New Roman" w:eastAsia="Times New Roman" w:hAnsi="Times New Roman"/>
            <w:sz w:val="14"/>
            <w:szCs w:val="14"/>
            <w:u w:val="single" w:color="auto"/>
            <w:color w:val="0000FF"/>
          </w:rPr>
          <w:t>10.2 to the Registrant’s Current Report on Form 8-K, filed with the SEC on May 28, 2024)</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10.24</w:t>
      </w:r>
      <w:r>
        <w:rPr>
          <w:sz w:val="20"/>
          <w:szCs w:val="20"/>
          <w:color w:val="auto"/>
        </w:rPr>
        <w:tab/>
      </w:r>
      <w:hyperlink r:id="rId160">
        <w:r>
          <w:rPr>
            <w:rFonts w:ascii="Times New Roman" w:cs="Times New Roman" w:eastAsia="Times New Roman" w:hAnsi="Times New Roman"/>
            <w:sz w:val="14"/>
            <w:szCs w:val="14"/>
            <w:u w:val="single" w:color="auto"/>
            <w:color w:val="0000FF"/>
          </w:rPr>
          <w:t>Placement Agency Agreement, dated May 24, 2024, by and between the Company and Canaccord</w:t>
        </w:r>
      </w:hyperlink>
      <w:r>
        <w:rPr>
          <w:rFonts w:ascii="Times New Roman" w:cs="Times New Roman" w:eastAsia="Times New Roman" w:hAnsi="Times New Roman"/>
          <w:sz w:val="14"/>
          <w:szCs w:val="14"/>
          <w:u w:val="single" w:color="auto"/>
          <w:color w:val="0000FF"/>
        </w:rPr>
        <w:t xml:space="preserve"> </w:t>
      </w:r>
      <w:hyperlink r:id="rId160">
        <w:r>
          <w:rPr>
            <w:rFonts w:ascii="Times New Roman" w:cs="Times New Roman" w:eastAsia="Times New Roman" w:hAnsi="Times New Roman"/>
            <w:sz w:val="14"/>
            <w:szCs w:val="14"/>
            <w:u w:val="single" w:color="auto"/>
            <w:color w:val="0000FF"/>
          </w:rPr>
          <w:t>Genuity LLC (incorporated by reference to Exhibit 10.4 to the Registrant’s Current Report on Form 8-K,</w:t>
        </w:r>
      </w:hyperlink>
      <w:r>
        <w:rPr>
          <w:rFonts w:ascii="Times New Roman" w:cs="Times New Roman" w:eastAsia="Times New Roman" w:hAnsi="Times New Roman"/>
          <w:sz w:val="14"/>
          <w:szCs w:val="14"/>
          <w:u w:val="single" w:color="auto"/>
          <w:color w:val="0000FF"/>
        </w:rPr>
        <w:t xml:space="preserve"> </w:t>
      </w:r>
      <w:hyperlink r:id="rId160">
        <w:r>
          <w:rPr>
            <w:rFonts w:ascii="Times New Roman" w:cs="Times New Roman" w:eastAsia="Times New Roman" w:hAnsi="Times New Roman"/>
            <w:sz w:val="14"/>
            <w:szCs w:val="14"/>
            <w:u w:val="single" w:color="auto"/>
            <w:color w:val="0000FF"/>
          </w:rPr>
          <w:t>filed with the SEC on May 28, 2024).</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677545</wp:posOffset>
            </wp:positionH>
            <wp:positionV relativeFrom="paragraph">
              <wp:posOffset>-323215</wp:posOffset>
            </wp:positionV>
            <wp:extent cx="4364355" cy="3257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1">
                      <a:extLst>
                        <a:ext uri="{28A0092B-C50C-407E-A947-70E740481C1C}"/>
                      </a:extLst>
                    </a:blip>
                    <a:srcRect/>
                    <a:stretch>
                      <a:fillRect/>
                    </a:stretch>
                  </pic:blipFill>
                  <pic:spPr bwMode="auto">
                    <a:xfrm>
                      <a:off x="0" y="0"/>
                      <a:ext cx="4364355" cy="325755"/>
                    </a:xfrm>
                    <a:prstGeom prst="rect">
                      <a:avLst/>
                    </a:prstGeom>
                    <a:noFill/>
                  </pic:spPr>
                </pic:pic>
              </a:graphicData>
            </a:graphic>
          </wp:anchor>
        </w:drawing>
      </w: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10.25</w:t>
      </w:r>
      <w:r>
        <w:rPr>
          <w:sz w:val="20"/>
          <w:szCs w:val="20"/>
          <w:color w:val="auto"/>
        </w:rPr>
        <w:tab/>
      </w:r>
      <w:hyperlink r:id="rId162">
        <w:r>
          <w:rPr>
            <w:rFonts w:ascii="Times New Roman" w:cs="Times New Roman" w:eastAsia="Times New Roman" w:hAnsi="Times New Roman"/>
            <w:sz w:val="14"/>
            <w:szCs w:val="14"/>
            <w:u w:val="single" w:color="auto"/>
            <w:color w:val="0000FF"/>
          </w:rPr>
          <w:t>Registration Rights Agreement, dated May 24, 2024, by and between the Company and the Investors</w:t>
        </w:r>
      </w:hyperlink>
      <w:r>
        <w:rPr>
          <w:rFonts w:ascii="Times New Roman" w:cs="Times New Roman" w:eastAsia="Times New Roman" w:hAnsi="Times New Roman"/>
          <w:sz w:val="14"/>
          <w:szCs w:val="14"/>
          <w:u w:val="single" w:color="auto"/>
          <w:color w:val="0000FF"/>
        </w:rPr>
        <w:t xml:space="preserve"> </w:t>
      </w:r>
      <w:hyperlink r:id="rId162">
        <w:r>
          <w:rPr>
            <w:rFonts w:ascii="Times New Roman" w:cs="Times New Roman" w:eastAsia="Times New Roman" w:hAnsi="Times New Roman"/>
            <w:sz w:val="14"/>
            <w:szCs w:val="14"/>
            <w:u w:val="single" w:color="auto"/>
            <w:color w:val="0000FF"/>
          </w:rPr>
          <w:t>(incorporated by reference to Exhibit 10.5 to the Registrant’s Current Report on Form 8-K, filed with the</w:t>
        </w:r>
      </w:hyperlink>
      <w:r>
        <w:rPr>
          <w:rFonts w:ascii="Times New Roman" w:cs="Times New Roman" w:eastAsia="Times New Roman" w:hAnsi="Times New Roman"/>
          <w:sz w:val="14"/>
          <w:szCs w:val="14"/>
          <w:u w:val="single" w:color="auto"/>
          <w:color w:val="0000FF"/>
        </w:rPr>
        <w:t xml:space="preserve"> </w:t>
      </w:r>
      <w:hyperlink r:id="rId162">
        <w:r>
          <w:rPr>
            <w:rFonts w:ascii="Times New Roman" w:cs="Times New Roman" w:eastAsia="Times New Roman" w:hAnsi="Times New Roman"/>
            <w:sz w:val="14"/>
            <w:szCs w:val="14"/>
            <w:u w:val="single" w:color="auto"/>
            <w:color w:val="0000FF"/>
          </w:rPr>
          <w:t>SEC on May 28, 2024)</w:t>
        </w:r>
      </w:hyperlink>
    </w:p>
    <w:p>
      <w:pPr>
        <w:spacing w:after="0" w:line="2" w:lineRule="exact"/>
        <w:rPr>
          <w:rFonts w:ascii="Times New Roman" w:cs="Times New Roman" w:eastAsia="Times New Roman" w:hAnsi="Times New Roman"/>
          <w:sz w:val="14"/>
          <w:szCs w:val="14"/>
          <w:u w:val="single" w:color="auto"/>
          <w:color w:val="0000FF"/>
        </w:rPr>
      </w:pPr>
    </w:p>
    <w:p>
      <w:pPr>
        <w:jc w:val="both"/>
        <w:ind w:left="1820" w:right="1139" w:hanging="747"/>
        <w:spacing w:after="0" w:line="254" w:lineRule="auto"/>
        <w:tabs>
          <w:tab w:leader="none" w:pos="18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21.1</w:t>
      </w:r>
      <w:r>
        <w:rPr>
          <w:sz w:val="20"/>
          <w:szCs w:val="20"/>
          <w:color w:val="auto"/>
        </w:rPr>
        <w:tab/>
      </w:r>
      <w:hyperlink r:id="rId163">
        <w:r>
          <w:rPr>
            <w:rFonts w:ascii="Times New Roman" w:cs="Times New Roman" w:eastAsia="Times New Roman" w:hAnsi="Times New Roman"/>
            <w:sz w:val="14"/>
            <w:szCs w:val="14"/>
            <w:u w:val="single" w:color="auto"/>
            <w:color w:val="0000FF"/>
          </w:rPr>
          <w:t>Subsidiaries of the Registrant (incorporated by reference to Exhibit 21.1 of the Company’s Annual Report</w:t>
        </w:r>
      </w:hyperlink>
      <w:r>
        <w:rPr>
          <w:rFonts w:ascii="Times New Roman" w:cs="Times New Roman" w:eastAsia="Times New Roman" w:hAnsi="Times New Roman"/>
          <w:sz w:val="14"/>
          <w:szCs w:val="14"/>
          <w:u w:val="single" w:color="auto"/>
          <w:color w:val="0000FF"/>
        </w:rPr>
        <w:t xml:space="preserve"> </w:t>
      </w:r>
      <w:hyperlink r:id="rId163">
        <w:r>
          <w:rPr>
            <w:rFonts w:ascii="Times New Roman" w:cs="Times New Roman" w:eastAsia="Times New Roman" w:hAnsi="Times New Roman"/>
            <w:sz w:val="14"/>
            <w:szCs w:val="14"/>
            <w:u w:val="single" w:color="auto"/>
            <w:color w:val="0000FF"/>
          </w:rPr>
          <w:t>on Form 10-K filed with the SEC on March 23,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-215265</wp:posOffset>
            </wp:positionV>
            <wp:extent cx="4364355" cy="2171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4">
                      <a:extLst>
                        <a:ext uri="{28A0092B-C50C-407E-A947-70E740481C1C}"/>
                      </a:extLst>
                    </a:blip>
                    <a:srcRect/>
                    <a:stretch>
                      <a:fillRect/>
                    </a:stretch>
                  </pic:blipFill>
                  <pic:spPr bwMode="auto">
                    <a:xfrm>
                      <a:off x="0" y="0"/>
                      <a:ext cx="4364355" cy="217170"/>
                    </a:xfrm>
                    <a:prstGeom prst="rect">
                      <a:avLst/>
                    </a:prstGeom>
                    <a:noFill/>
                  </pic:spPr>
                </pic:pic>
              </a:graphicData>
            </a:graphic>
          </wp:anchor>
        </w:drawing>
      </w:r>
    </w:p>
    <w:p>
      <w:pPr>
        <w:ind w:left="1060"/>
        <w:spacing w:after="0"/>
        <w:tabs>
          <w:tab w:leader="none" w:pos="180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u w:val="single" w:color="auto"/>
          <w:color w:val="0000FF"/>
        </w:rPr>
        <w:t>Consent of BDO USA, P.C., independent registered public accounting firm.</w:t>
      </w:r>
    </w:p>
    <w:p>
      <w:pPr>
        <w:spacing w:after="0" w:line="10" w:lineRule="exact"/>
        <w:rPr>
          <w:sz w:val="20"/>
          <w:szCs w:val="20"/>
          <w:color w:val="auto"/>
        </w:rPr>
      </w:pPr>
    </w:p>
    <w:p>
      <w:pPr>
        <w:ind w:left="1060"/>
        <w:spacing w:after="0"/>
        <w:tabs>
          <w:tab w:leader="none" w:pos="180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u w:val="single" w:color="auto"/>
          <w:color w:val="0000FF"/>
        </w:rPr>
        <w:t>Consent of Troutman Pepper Locke LLP (included as part of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-100965</wp:posOffset>
            </wp:positionV>
            <wp:extent cx="4364355" cy="1085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5">
                      <a:extLst>
                        <a:ext uri="{28A0092B-C50C-407E-A947-70E740481C1C}"/>
                      </a:extLst>
                    </a:blip>
                    <a:srcRect/>
                    <a:stretch>
                      <a:fillRect/>
                    </a:stretch>
                  </pic:blipFill>
                  <pic:spPr bwMode="auto">
                    <a:xfrm>
                      <a:off x="0" y="0"/>
                      <a:ext cx="4364355" cy="108585"/>
                    </a:xfrm>
                    <a:prstGeom prst="rect">
                      <a:avLst/>
                    </a:prstGeom>
                    <a:noFill/>
                  </pic:spPr>
                </pic:pic>
              </a:graphicData>
            </a:graphic>
          </wp:anchor>
        </w:drawing>
      </w:r>
    </w:p>
    <w:p>
      <w:pPr>
        <w:ind w:left="1060"/>
        <w:spacing w:after="0"/>
        <w:tabs>
          <w:tab w:leader="none" w:pos="180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4"/>
          <w:szCs w:val="14"/>
          <w:u w:val="single" w:color="auto"/>
          <w:color w:val="0000FF"/>
        </w:rPr>
        <w:t>Power of Attorney (included in the signature page to this registration statement).</w:t>
      </w:r>
    </w:p>
    <w:p>
      <w:pPr>
        <w:spacing w:after="0" w:line="10" w:lineRule="exact"/>
        <w:rPr>
          <w:sz w:val="20"/>
          <w:szCs w:val="20"/>
          <w:color w:val="auto"/>
        </w:rPr>
      </w:pPr>
    </w:p>
    <w:p>
      <w:pPr>
        <w:ind w:left="1060"/>
        <w:spacing w:after="0"/>
        <w:tabs>
          <w:tab w:leader="none" w:pos="180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u w:val="single" w:color="auto"/>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-100965</wp:posOffset>
            </wp:positionV>
            <wp:extent cx="4364355" cy="1085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6">
                      <a:extLst>
                        <a:ext uri="{28A0092B-C50C-407E-A947-70E740481C1C}"/>
                      </a:extLst>
                    </a:blip>
                    <a:srcRect/>
                    <a:stretch>
                      <a:fillRect/>
                    </a:stretch>
                  </pic:blipFill>
                  <pic:spPr bwMode="auto">
                    <a:xfrm>
                      <a:off x="0" y="0"/>
                      <a:ext cx="4364355" cy="108585"/>
                    </a:xfrm>
                    <a:prstGeom prst="rect">
                      <a:avLst/>
                    </a:prstGeom>
                    <a:noFill/>
                  </pic:spPr>
                </pic:pic>
              </a:graphicData>
            </a:graphic>
          </wp:anchor>
        </w:drawing>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 Filed herewith.</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7">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4" w:right="1440" w:bottom="1440" w:gutter="0" w:footer="0" w:header="0"/>
        </w:sectPr>
      </w:pPr>
    </w:p>
    <w:bookmarkStart w:id="34" w:name="page35"/>
    <w:bookmarkEnd w:id="34"/>
    <w:p>
      <w:pPr>
        <w:ind w:left="1220" w:right="1079" w:hanging="154"/>
        <w:spacing w:after="0" w:line="290" w:lineRule="auto"/>
        <w:tabs>
          <w:tab w:leader="none" w:pos="1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have been omitted pursuant to Item 601(a)(5) of Regulation S-K. The Registrant hereby undertakes to furnish supplementally a copy of any omitted exhibit or schedule to the SEC upon its request.</w:t>
      </w:r>
    </w:p>
    <w:p>
      <w:pPr>
        <w:spacing w:after="0" w:line="3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 Indicates a management contract or compensatory plan, contract or arrangement.</w:t>
      </w:r>
    </w:p>
    <w:p>
      <w:pPr>
        <w:spacing w:after="0" w:line="96" w:lineRule="exact"/>
        <w:rPr>
          <w:sz w:val="20"/>
          <w:szCs w:val="20"/>
          <w:color w:val="auto"/>
        </w:rPr>
      </w:pPr>
    </w:p>
    <w:p>
      <w:pPr>
        <w:ind w:left="1220" w:right="1079" w:hanging="154"/>
        <w:spacing w:after="0" w:line="290" w:lineRule="auto"/>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pursuant to Item 601(b)(2)(ii) of Regulation S-K. The Company agrees to furnish supplementally an unredacted copy of the Exhibits to the SEC upon its request.</w:t>
      </w:r>
    </w:p>
    <w:p>
      <w:pPr>
        <w:spacing w:after="0" w:line="39" w:lineRule="exact"/>
        <w:rPr>
          <w:sz w:val="20"/>
          <w:szCs w:val="20"/>
          <w:color w:val="auto"/>
        </w:rPr>
      </w:pPr>
    </w:p>
    <w:p>
      <w:pPr>
        <w:jc w:val="both"/>
        <w:ind w:left="1220" w:right="1079" w:hanging="154"/>
        <w:spacing w:after="0" w:line="266" w:lineRule="auto"/>
        <w:tabs>
          <w:tab w:leader="none" w:pos="1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601(b)(10) of Regulation S-K, certain portions of this exhibit have been omitted (indicated by “[***]”) because the Company has determined that such information is not material and is the type that the Company treats as private or confidential. The Registrant hereby agrees to furnish supplementally to the SEC, upon its request, an unredacted copy of this exhibit.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8">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4" w:right="1440" w:bottom="1440" w:gutter="0" w:footer="0" w:header="0"/>
        </w:sectPr>
      </w:pPr>
    </w:p>
    <w:bookmarkStart w:id="35" w:name="page36"/>
    <w:bookmarkEnd w:id="35"/>
    <w:p>
      <w:pPr>
        <w:ind w:left="10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8" w:lineRule="exact"/>
        <w:rPr>
          <w:sz w:val="20"/>
          <w:szCs w:val="20"/>
          <w:color w:val="auto"/>
        </w:rPr>
      </w:pPr>
    </w:p>
    <w:p>
      <w:pPr>
        <w:ind w:left="1420" w:hanging="354"/>
        <w:spacing w:after="0"/>
        <w:tabs>
          <w:tab w:leader="none" w:pos="1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5"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38" w:lineRule="exact"/>
        <w:rPr>
          <w:rFonts w:ascii="Times New Roman" w:cs="Times New Roman" w:eastAsia="Times New Roman" w:hAnsi="Times New Roman"/>
          <w:sz w:val="14"/>
          <w:szCs w:val="14"/>
          <w:color w:val="auto"/>
        </w:rPr>
      </w:pPr>
    </w:p>
    <w:p>
      <w:pPr>
        <w:ind w:left="2180" w:hanging="344"/>
        <w:spacing w:after="0"/>
        <w:tabs>
          <w:tab w:leader="none" w:pos="218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95" w:lineRule="exact"/>
        <w:rPr>
          <w:rFonts w:ascii="Times New Roman" w:cs="Times New Roman" w:eastAsia="Times New Roman" w:hAnsi="Times New Roman"/>
          <w:sz w:val="14"/>
          <w:szCs w:val="14"/>
          <w:color w:val="auto"/>
        </w:rPr>
      </w:pPr>
    </w:p>
    <w:p>
      <w:pPr>
        <w:jc w:val="both"/>
        <w:ind w:left="2180" w:right="1079" w:hanging="344"/>
        <w:spacing w:after="0" w:line="258" w:lineRule="auto"/>
        <w:tabs>
          <w:tab w:leader="none" w:pos="218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and</w:t>
      </w:r>
    </w:p>
    <w:p>
      <w:pPr>
        <w:spacing w:after="0" w:line="65" w:lineRule="exact"/>
        <w:rPr>
          <w:rFonts w:ascii="Times New Roman" w:cs="Times New Roman" w:eastAsia="Times New Roman" w:hAnsi="Times New Roman"/>
          <w:sz w:val="14"/>
          <w:szCs w:val="14"/>
          <w:color w:val="auto"/>
        </w:rPr>
      </w:pPr>
    </w:p>
    <w:p>
      <w:pPr>
        <w:jc w:val="both"/>
        <w:ind w:left="2180" w:right="1079" w:hanging="344"/>
        <w:spacing w:after="0" w:line="290" w:lineRule="auto"/>
        <w:tabs>
          <w:tab w:leader="none" w:pos="218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4" w:lineRule="exact"/>
        <w:rPr>
          <w:sz w:val="20"/>
          <w:szCs w:val="20"/>
          <w:color w:val="auto"/>
        </w:rPr>
      </w:pPr>
    </w:p>
    <w:p>
      <w:pPr>
        <w:jc w:val="both"/>
        <w:ind w:left="1420" w:right="1079"/>
        <w:spacing w:after="0" w:line="263" w:lineRule="auto"/>
        <w:rPr>
          <w:sz w:val="20"/>
          <w:szCs w:val="20"/>
          <w:color w:val="auto"/>
        </w:rPr>
      </w:pPr>
      <w:r>
        <w:rPr>
          <w:rFonts w:ascii="Times New Roman" w:cs="Times New Roman" w:eastAsia="Times New Roman" w:hAnsi="Times New Roman"/>
          <w:sz w:val="14"/>
          <w:szCs w:val="14"/>
          <w:color w:val="auto"/>
        </w:rPr>
        <w:t>provided, however, that the undertakings set forth in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are contained in a form of prospectus filed pursuant to Rule 424(b) that is part of this registration statement.</w:t>
      </w:r>
    </w:p>
    <w:p>
      <w:pPr>
        <w:spacing w:after="0" w:line="59" w:lineRule="exact"/>
        <w:rPr>
          <w:sz w:val="20"/>
          <w:szCs w:val="20"/>
          <w:color w:val="auto"/>
        </w:rPr>
      </w:pPr>
    </w:p>
    <w:p>
      <w:pPr>
        <w:jc w:val="both"/>
        <w:ind w:left="1760" w:right="1079" w:hanging="345"/>
        <w:spacing w:after="0" w:line="272"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51" w:lineRule="exact"/>
        <w:rPr>
          <w:rFonts w:ascii="Times New Roman" w:cs="Times New Roman" w:eastAsia="Times New Roman" w:hAnsi="Times New Roman"/>
          <w:sz w:val="14"/>
          <w:szCs w:val="14"/>
          <w:color w:val="auto"/>
        </w:rPr>
      </w:pPr>
    </w:p>
    <w:p>
      <w:pPr>
        <w:ind w:left="1760" w:right="1079" w:hanging="345"/>
        <w:spacing w:after="0" w:line="290"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38" w:lineRule="exact"/>
        <w:rPr>
          <w:rFonts w:ascii="Times New Roman" w:cs="Times New Roman" w:eastAsia="Times New Roman" w:hAnsi="Times New Roman"/>
          <w:sz w:val="14"/>
          <w:szCs w:val="14"/>
          <w:color w:val="auto"/>
        </w:rPr>
      </w:pPr>
    </w:p>
    <w:p>
      <w:pPr>
        <w:jc w:val="both"/>
        <w:ind w:left="1760" w:right="1079" w:hanging="345"/>
        <w:spacing w:after="0" w:line="258"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5" w:lineRule="exact"/>
        <w:rPr>
          <w:rFonts w:ascii="Times New Roman" w:cs="Times New Roman" w:eastAsia="Times New Roman" w:hAnsi="Times New Roman"/>
          <w:sz w:val="14"/>
          <w:szCs w:val="14"/>
          <w:color w:val="auto"/>
        </w:rPr>
      </w:pPr>
    </w:p>
    <w:p>
      <w:pPr>
        <w:jc w:val="both"/>
        <w:ind w:left="1760" w:right="1079" w:hanging="345"/>
        <w:spacing w:after="0" w:line="262"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7" w:lineRule="exact"/>
        <w:rPr>
          <w:rFonts w:ascii="Times New Roman" w:cs="Times New Roman" w:eastAsia="Times New Roman" w:hAnsi="Times New Roman"/>
          <w:sz w:val="14"/>
          <w:szCs w:val="14"/>
          <w:color w:val="auto"/>
        </w:rPr>
      </w:pPr>
    </w:p>
    <w:p>
      <w:pPr>
        <w:ind w:left="2240" w:right="1079" w:hanging="353"/>
        <w:spacing w:after="0" w:line="290" w:lineRule="auto"/>
        <w:tabs>
          <w:tab w:leader="none" w:pos="224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38" w:lineRule="exact"/>
        <w:rPr>
          <w:rFonts w:ascii="Times New Roman" w:cs="Times New Roman" w:eastAsia="Times New Roman" w:hAnsi="Times New Roman"/>
          <w:sz w:val="14"/>
          <w:szCs w:val="14"/>
          <w:color w:val="auto"/>
        </w:rPr>
      </w:pPr>
    </w:p>
    <w:p>
      <w:pPr>
        <w:ind w:left="2240" w:right="1079" w:hanging="353"/>
        <w:spacing w:after="0" w:line="290" w:lineRule="auto"/>
        <w:tabs>
          <w:tab w:leader="none" w:pos="224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9">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36" w:name="page37"/>
    <w:bookmarkEnd w:id="36"/>
    <w:p>
      <w:pPr>
        <w:jc w:val="both"/>
        <w:ind w:left="2240" w:right="1079" w:hanging="353"/>
        <w:spacing w:after="0" w:line="272" w:lineRule="auto"/>
        <w:tabs>
          <w:tab w:leader="none" w:pos="2240" w:val="left"/>
        </w:tabs>
        <w:numPr>
          <w:ilvl w:val="2"/>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1" w:lineRule="exact"/>
        <w:rPr>
          <w:rFonts w:ascii="Times New Roman" w:cs="Times New Roman" w:eastAsia="Times New Roman" w:hAnsi="Times New Roman"/>
          <w:sz w:val="14"/>
          <w:szCs w:val="14"/>
          <w:color w:val="auto"/>
        </w:rPr>
      </w:pPr>
    </w:p>
    <w:p>
      <w:pPr>
        <w:ind w:left="2240" w:right="1079" w:hanging="353"/>
        <w:spacing w:after="0" w:line="290" w:lineRule="auto"/>
        <w:tabs>
          <w:tab w:leader="none" w:pos="2240" w:val="left"/>
        </w:tabs>
        <w:numPr>
          <w:ilvl w:val="2"/>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38" w:lineRule="exact"/>
        <w:rPr>
          <w:rFonts w:ascii="Times New Roman" w:cs="Times New Roman" w:eastAsia="Times New Roman" w:hAnsi="Times New Roman"/>
          <w:sz w:val="14"/>
          <w:szCs w:val="14"/>
          <w:color w:val="auto"/>
        </w:rPr>
      </w:pPr>
    </w:p>
    <w:p>
      <w:pPr>
        <w:jc w:val="both"/>
        <w:ind w:left="1420" w:right="1079" w:hanging="354"/>
        <w:spacing w:after="0" w:line="262" w:lineRule="auto"/>
        <w:tabs>
          <w:tab w:leader="none" w:pos="14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57" w:lineRule="exact"/>
        <w:rPr>
          <w:rFonts w:ascii="Times New Roman" w:cs="Times New Roman" w:eastAsia="Times New Roman" w:hAnsi="Times New Roman"/>
          <w:sz w:val="14"/>
          <w:szCs w:val="14"/>
          <w:color w:val="auto"/>
        </w:rPr>
      </w:pPr>
    </w:p>
    <w:p>
      <w:pPr>
        <w:jc w:val="both"/>
        <w:ind w:left="1420" w:right="1079" w:hanging="354"/>
        <w:spacing w:after="0" w:line="258" w:lineRule="auto"/>
        <w:tabs>
          <w:tab w:leader="none" w:pos="14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5" w:lineRule="exact"/>
        <w:rPr>
          <w:rFonts w:ascii="Times New Roman" w:cs="Times New Roman" w:eastAsia="Times New Roman" w:hAnsi="Times New Roman"/>
          <w:sz w:val="14"/>
          <w:szCs w:val="14"/>
          <w:color w:val="auto"/>
        </w:rPr>
      </w:pPr>
    </w:p>
    <w:p>
      <w:pPr>
        <w:ind w:left="1420" w:hanging="354"/>
        <w:spacing w:after="0"/>
        <w:tabs>
          <w:tab w:leader="none" w:pos="14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95"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5" w:lineRule="exact"/>
        <w:rPr>
          <w:rFonts w:ascii="Times New Roman" w:cs="Times New Roman" w:eastAsia="Times New Roman" w:hAnsi="Times New Roman"/>
          <w:sz w:val="14"/>
          <w:szCs w:val="14"/>
          <w:color w:val="auto"/>
        </w:rPr>
      </w:pPr>
    </w:p>
    <w:p>
      <w:pPr>
        <w:jc w:val="both"/>
        <w:ind w:left="1760" w:right="1079" w:hanging="345"/>
        <w:spacing w:after="0" w:line="266" w:lineRule="auto"/>
        <w:tabs>
          <w:tab w:leader="none" w:pos="17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382905</wp:posOffset>
            </wp:positionV>
            <wp:extent cx="557784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0">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3" w:lineRule="exact"/>
        <w:rPr>
          <w:sz w:val="20"/>
          <w:szCs w:val="20"/>
          <w:color w:val="auto"/>
        </w:rPr>
      </w:pPr>
    </w:p>
    <w:p>
      <w:pPr>
        <w:jc w:val="both"/>
        <w:ind w:left="1060" w:right="1079"/>
        <w:spacing w:after="0" w:line="27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San Diego, State of California, on the 27th day of October, 2026.</w:t>
      </w:r>
    </w:p>
    <w:p>
      <w:pPr>
        <w:spacing w:after="0" w:line="1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BIONANO GENOMICS, INC.</w:t>
      </w:r>
    </w:p>
    <w:p>
      <w:pPr>
        <w:spacing w:after="0" w:line="1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By: /s/ Albert A. Luderer, Ph.D.</w:t>
      </w:r>
    </w:p>
    <w:p>
      <w:pPr>
        <w:spacing w:after="0" w:line="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Albert A. Luderer,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-100965</wp:posOffset>
            </wp:positionV>
            <wp:extent cx="15608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1">
                      <a:extLst>
                        <a:ext uri="{28A0092B-C50C-407E-A947-70E740481C1C}"/>
                      </a:extLst>
                    </a:blip>
                    <a:srcRect/>
                    <a:stretch>
                      <a:fillRect/>
                    </a:stretch>
                  </pic:blipFill>
                  <pic:spPr bwMode="auto">
                    <a:xfrm>
                      <a:off x="0" y="0"/>
                      <a:ext cx="1560830" cy="6985"/>
                    </a:xfrm>
                    <a:prstGeom prst="rect">
                      <a:avLst/>
                    </a:prstGeom>
                    <a:noFill/>
                  </pic:spPr>
                </pic:pic>
              </a:graphicData>
            </a:graphic>
          </wp:anchor>
        </w:drawing>
      </w:r>
    </w:p>
    <w:p>
      <w:pPr>
        <w:spacing w:after="0" w:line="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Interim Chief Executive Officer</w:t>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(Principal Executive Officer and Principal</w:t>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Financial Officer)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3" w:lineRule="exact"/>
        <w:rPr>
          <w:sz w:val="20"/>
          <w:szCs w:val="20"/>
          <w:color w:val="auto"/>
        </w:rPr>
      </w:pPr>
    </w:p>
    <w:p>
      <w:pPr>
        <w:jc w:val="both"/>
        <w:ind w:left="1060" w:right="1079"/>
        <w:spacing w:after="0" w:line="259" w:lineRule="auto"/>
        <w:rPr>
          <w:sz w:val="20"/>
          <w:szCs w:val="20"/>
          <w:color w:val="auto"/>
        </w:rPr>
      </w:pPr>
      <w:r>
        <w:rPr>
          <w:rFonts w:ascii="Times New Roman" w:cs="Times New Roman" w:eastAsia="Times New Roman" w:hAnsi="Times New Roman"/>
          <w:sz w:val="14"/>
          <w:szCs w:val="14"/>
          <w:color w:val="auto"/>
        </w:rPr>
        <w:t>We, the undersigned officers and directors of Bionano Genomics, Inc., hereby severally constitute and appoint Albert A. Luderer, Ph.D. and Mark Adamchak, and each of them singly (with full power to each of them to act alone),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47" w:lineRule="exact"/>
        <w:rPr>
          <w:sz w:val="20"/>
          <w:szCs w:val="20"/>
          <w:color w:val="auto"/>
        </w:rPr>
      </w:pPr>
    </w:p>
    <w:p>
      <w:pPr>
        <w:jc w:val="both"/>
        <w:ind w:left="1060" w:right="1079"/>
        <w:spacing w:after="0" w:line="29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43"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920" w:type="dxa"/>
            <w:vAlign w:val="bottom"/>
          </w:tcPr>
          <w:p>
            <w:pPr>
              <w:spacing w:after="0"/>
              <w:rPr>
                <w:sz w:val="16"/>
                <w:szCs w:val="16"/>
                <w:color w:val="auto"/>
              </w:rPr>
            </w:pPr>
          </w:p>
        </w:tc>
        <w:tc>
          <w:tcPr>
            <w:tcW w:w="234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60" w:type="dxa"/>
            <w:vAlign w:val="bottom"/>
          </w:tcPr>
          <w:p>
            <w:pPr>
              <w:spacing w:after="0"/>
              <w:rPr>
                <w:sz w:val="16"/>
                <w:szCs w:val="16"/>
                <w:color w:val="auto"/>
              </w:rPr>
            </w:pPr>
          </w:p>
        </w:tc>
        <w:tc>
          <w:tcPr>
            <w:tcW w:w="32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2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 Albert A. Luderer, Ph.D.</w:t>
            </w:r>
          </w:p>
        </w:tc>
        <w:tc>
          <w:tcPr>
            <w:tcW w:w="80" w:type="dxa"/>
            <w:vAlign w:val="bottom"/>
          </w:tcPr>
          <w:p>
            <w:pPr>
              <w:spacing w:after="0"/>
              <w:rPr>
                <w:sz w:val="24"/>
                <w:szCs w:val="24"/>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Interim Chief Executive Officer and</w:t>
            </w:r>
          </w:p>
        </w:tc>
        <w:tc>
          <w:tcPr>
            <w:tcW w:w="60" w:type="dxa"/>
            <w:vAlign w:val="bottom"/>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3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w:t>
            </w:r>
          </w:p>
        </w:tc>
        <w:tc>
          <w:tcPr>
            <w:tcW w:w="60" w:type="dxa"/>
            <w:vAlign w:val="bottom"/>
          </w:tcPr>
          <w:p>
            <w:pPr>
              <w:spacing w:after="0"/>
              <w:rPr>
                <w:sz w:val="15"/>
                <w:szCs w:val="15"/>
                <w:color w:val="auto"/>
              </w:rPr>
            </w:pPr>
          </w:p>
        </w:tc>
        <w:tc>
          <w:tcPr>
            <w:tcW w:w="32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October 27, 2026</w:t>
            </w:r>
          </w:p>
        </w:tc>
        <w:tc>
          <w:tcPr>
            <w:tcW w:w="0" w:type="dxa"/>
            <w:vAlign w:val="bottom"/>
          </w:tcPr>
          <w:p>
            <w:pPr>
              <w:spacing w:after="0"/>
              <w:rPr>
                <w:sz w:val="1"/>
                <w:szCs w:val="1"/>
                <w:color w:val="auto"/>
              </w:rPr>
            </w:pPr>
          </w:p>
        </w:tc>
      </w:tr>
      <w:tr>
        <w:trPr>
          <w:trHeight w:val="145"/>
        </w:trPr>
        <w:tc>
          <w:tcPr>
            <w:tcW w:w="920" w:type="dxa"/>
            <w:vAlign w:val="bottom"/>
          </w:tcPr>
          <w:p>
            <w:pPr>
              <w:spacing w:after="0"/>
              <w:rPr>
                <w:sz w:val="12"/>
                <w:szCs w:val="12"/>
                <w:color w:val="auto"/>
              </w:rPr>
            </w:pPr>
          </w:p>
        </w:tc>
        <w:tc>
          <w:tcPr>
            <w:tcW w:w="2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Albert A. Luderer, Ph.D.</w:t>
            </w:r>
          </w:p>
        </w:tc>
        <w:tc>
          <w:tcPr>
            <w:tcW w:w="80" w:type="dxa"/>
            <w:vAlign w:val="bottom"/>
          </w:tcPr>
          <w:p>
            <w:pPr>
              <w:spacing w:after="0"/>
              <w:rPr>
                <w:sz w:val="12"/>
                <w:szCs w:val="12"/>
                <w:color w:val="auto"/>
              </w:rPr>
            </w:pPr>
          </w:p>
        </w:tc>
        <w:tc>
          <w:tcPr>
            <w:tcW w:w="21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i w:val="1"/>
                <w:iCs w:val="1"/>
                <w:color w:val="auto"/>
              </w:rPr>
              <w:t>(Principal Executive Officer and</w:t>
            </w: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c>
          <w:tcPr>
            <w:tcW w:w="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92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Adamchak</w:t>
            </w:r>
          </w:p>
        </w:tc>
        <w:tc>
          <w:tcPr>
            <w:tcW w:w="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Accounting Officer</w:t>
            </w:r>
          </w:p>
        </w:tc>
        <w:tc>
          <w:tcPr>
            <w:tcW w:w="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October 27, 2026</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Mark Adamchak</w:t>
            </w:r>
          </w:p>
        </w:tc>
        <w:tc>
          <w:tcPr>
            <w:tcW w:w="8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c>
          <w:tcPr>
            <w:tcW w:w="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92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David L. Barker, Ph.D.</w:t>
            </w:r>
          </w:p>
        </w:tc>
        <w:tc>
          <w:tcPr>
            <w:tcW w:w="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October 27, 2026</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David L. Barker, Ph.D.</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92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Yvonne Linney, Ph.D.</w:t>
            </w:r>
          </w:p>
        </w:tc>
        <w:tc>
          <w:tcPr>
            <w:tcW w:w="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October 27, 2026</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Yvonne Linney, Ph.D.</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92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Aleksandar Rajkovic, M.D., Ph.D.</w:t>
            </w:r>
          </w:p>
        </w:tc>
        <w:tc>
          <w:tcPr>
            <w:tcW w:w="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October 27, 2026</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Aleksandar Rajkovic, M.D., Ph.D.</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92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Christopher Twomey</w:t>
            </w:r>
          </w:p>
        </w:tc>
        <w:tc>
          <w:tcPr>
            <w:tcW w:w="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October 27, 2026</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Christopher Twomey</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92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Kristiina Vuori, M.D., Ph.D.</w:t>
            </w:r>
          </w:p>
        </w:tc>
        <w:tc>
          <w:tcPr>
            <w:tcW w:w="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October 27, 2026</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Kristiina Vuori, M.D., Ph.D.</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3"/>
        </w:trPr>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II-11</w:t>
            </w: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42" w:right="1440" w:bottom="1440" w:gutter="0" w:footer="0" w:header="0"/>
        </w:sectPr>
      </w:pPr>
    </w:p>
    <w:bookmarkStart w:id="38" w:name="page39"/>
    <w:bookmarkEnd w:id="38"/>
    <w:p>
      <w:pPr>
        <w:ind w:left="11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1653540</wp:posOffset>
            </wp:positionH>
            <wp:positionV relativeFrom="page">
              <wp:posOffset>319405</wp:posOffset>
            </wp:positionV>
            <wp:extent cx="4242435" cy="644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4">
                      <a:extLst>
                        <a:ext uri="{28A0092B-C50C-407E-A947-70E740481C1C}"/>
                      </a:extLst>
                    </a:blip>
                    <a:srcRect/>
                    <a:stretch>
                      <a:fillRect/>
                    </a:stretch>
                  </pic:blipFill>
                  <pic:spPr bwMode="auto">
                    <a:xfrm>
                      <a:off x="0" y="0"/>
                      <a:ext cx="4242435" cy="644525"/>
                    </a:xfrm>
                    <a:prstGeom prst="rect">
                      <a:avLst/>
                    </a:prstGeom>
                    <a:noFill/>
                  </pic:spPr>
                </pic:pic>
              </a:graphicData>
            </a:graphic>
          </wp:anchor>
        </w:drawing>
        <w:t>Troutman Pepper Locke LLP</w:t>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301 S. College Street, 34th Floor</w:t>
      </w:r>
    </w:p>
    <w:p>
      <w:pPr>
        <w:ind w:left="1180"/>
        <w:spacing w:after="0"/>
        <w:rPr>
          <w:sz w:val="20"/>
          <w:szCs w:val="20"/>
          <w:color w:val="auto"/>
        </w:rPr>
      </w:pPr>
      <w:r>
        <w:rPr>
          <w:rFonts w:ascii="Arial" w:cs="Arial" w:eastAsia="Arial" w:hAnsi="Arial"/>
          <w:sz w:val="13"/>
          <w:szCs w:val="13"/>
          <w:color w:val="auto"/>
        </w:rPr>
        <w:t>Charlotte, NC 28202</w:t>
      </w:r>
    </w:p>
    <w:p>
      <w:pPr>
        <w:spacing w:after="0" w:line="13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troutman.com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October 27, 2026</w:t>
      </w:r>
    </w:p>
    <w:p>
      <w:pPr>
        <w:spacing w:after="0" w:line="11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Board of Directors</w:t>
      </w:r>
    </w:p>
    <w:p>
      <w:pPr>
        <w:ind w:left="1160"/>
        <w:spacing w:after="0" w:line="224" w:lineRule="auto"/>
        <w:rPr>
          <w:sz w:val="20"/>
          <w:szCs w:val="20"/>
          <w:color w:val="auto"/>
        </w:rPr>
      </w:pPr>
      <w:r>
        <w:rPr>
          <w:rFonts w:ascii="Arial" w:cs="Arial" w:eastAsia="Arial" w:hAnsi="Arial"/>
          <w:sz w:val="16"/>
          <w:szCs w:val="16"/>
          <w:color w:val="auto"/>
        </w:rPr>
        <w:t>Bionano Genomics, Inc.</w:t>
      </w:r>
    </w:p>
    <w:p>
      <w:pPr>
        <w:ind w:left="1160"/>
        <w:spacing w:after="0" w:line="223" w:lineRule="auto"/>
        <w:rPr>
          <w:sz w:val="20"/>
          <w:szCs w:val="20"/>
          <w:color w:val="auto"/>
        </w:rPr>
      </w:pPr>
      <w:r>
        <w:rPr>
          <w:rFonts w:ascii="Arial" w:cs="Arial" w:eastAsia="Arial" w:hAnsi="Arial"/>
          <w:sz w:val="16"/>
          <w:szCs w:val="16"/>
          <w:color w:val="auto"/>
        </w:rPr>
        <w:t>9540 Towne Centre Drive, Suite 100</w:t>
      </w:r>
    </w:p>
    <w:p>
      <w:pPr>
        <w:ind w:left="1160"/>
        <w:spacing w:after="0"/>
        <w:rPr>
          <w:sz w:val="20"/>
          <w:szCs w:val="20"/>
          <w:color w:val="auto"/>
        </w:rPr>
      </w:pPr>
      <w:r>
        <w:rPr>
          <w:rFonts w:ascii="Arial" w:cs="Arial" w:eastAsia="Arial" w:hAnsi="Arial"/>
          <w:sz w:val="16"/>
          <w:szCs w:val="16"/>
          <w:color w:val="auto"/>
        </w:rPr>
        <w:t>San Diego, California</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6"/>
          <w:szCs w:val="16"/>
          <w:b w:val="1"/>
          <w:bCs w:val="1"/>
          <w:i w:val="1"/>
          <w:iCs w:val="1"/>
          <w:color w:val="auto"/>
        </w:rPr>
        <w:t>Re: Bionano Genomics, Inc. Registration Statement on Form S-1</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Ladies and Gentlemen:</w:t>
      </w:r>
    </w:p>
    <w:p>
      <w:pPr>
        <w:spacing w:after="0" w:line="158" w:lineRule="exact"/>
        <w:rPr>
          <w:sz w:val="20"/>
          <w:szCs w:val="20"/>
          <w:color w:val="auto"/>
        </w:rPr>
      </w:pPr>
    </w:p>
    <w:p>
      <w:pPr>
        <w:jc w:val="both"/>
        <w:ind w:left="1160" w:right="1179" w:firstLine="513"/>
        <w:spacing w:after="0" w:line="230" w:lineRule="auto"/>
        <w:rPr>
          <w:sz w:val="20"/>
          <w:szCs w:val="20"/>
          <w:color w:val="auto"/>
        </w:rPr>
      </w:pPr>
      <w:r>
        <w:rPr>
          <w:rFonts w:ascii="Arial" w:cs="Arial" w:eastAsia="Arial" w:hAnsi="Arial"/>
          <w:sz w:val="16"/>
          <w:szCs w:val="16"/>
          <w:color w:val="auto"/>
        </w:rPr>
        <w:t>We have acted as counsel to Bionano Genomics,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Company’s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including the prospectus that is part of the Registration Statement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The Registration Statement relates to the offer, sale and issuance by the Company of up to an aggregate of 1,332,632 shares (the “</w:t>
      </w:r>
      <w:r>
        <w:rPr>
          <w:rFonts w:ascii="Arial" w:cs="Arial" w:eastAsia="Arial" w:hAnsi="Arial"/>
          <w:sz w:val="16"/>
          <w:szCs w:val="16"/>
          <w:b w:val="1"/>
          <w:bCs w:val="1"/>
          <w:i w:val="1"/>
          <w:iCs w:val="1"/>
          <w:color w:val="auto"/>
        </w:rPr>
        <w:t>Warrant Shares</w:t>
      </w:r>
      <w:r>
        <w:rPr>
          <w:rFonts w:ascii="Arial" w:cs="Arial" w:eastAsia="Arial" w:hAnsi="Arial"/>
          <w:sz w:val="16"/>
          <w:szCs w:val="16"/>
          <w:color w:val="auto"/>
        </w:rPr>
        <w:t>”) of common stock, par value $0.0001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 Company, consisting of:</w:t>
      </w:r>
    </w:p>
    <w:p>
      <w:pPr>
        <w:spacing w:after="0" w:line="129" w:lineRule="exact"/>
        <w:rPr>
          <w:sz w:val="20"/>
          <w:szCs w:val="20"/>
          <w:color w:val="auto"/>
        </w:rPr>
      </w:pPr>
    </w:p>
    <w:p>
      <w:pPr>
        <w:jc w:val="both"/>
        <w:ind w:left="1940" w:right="1179" w:hanging="514"/>
        <w:spacing w:after="0" w:line="234" w:lineRule="auto"/>
        <w:tabs>
          <w:tab w:leader="none" w:pos="1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661,377 shares of Common Stock issuable upon exercise of outstanding warrants to purchase shares of Common Stock, each with an exercise price of $15.120 per share, that were originally issued pursuant to a prospectus dated May 10, 2023 and a related prospectus supplement dated January 3, 2025 (the “</w:t>
      </w:r>
      <w:r>
        <w:rPr>
          <w:rFonts w:ascii="Arial" w:cs="Arial" w:eastAsia="Arial" w:hAnsi="Arial"/>
          <w:sz w:val="16"/>
          <w:szCs w:val="16"/>
          <w:b w:val="1"/>
          <w:bCs w:val="1"/>
          <w:i w:val="1"/>
          <w:iCs w:val="1"/>
          <w:color w:val="auto"/>
        </w:rPr>
        <w:t>2025 Purchase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129" w:lineRule="exact"/>
        <w:rPr>
          <w:rFonts w:ascii="Arial" w:cs="Arial" w:eastAsia="Arial" w:hAnsi="Arial"/>
          <w:sz w:val="16"/>
          <w:szCs w:val="16"/>
          <w:color w:val="auto"/>
        </w:rPr>
      </w:pPr>
    </w:p>
    <w:p>
      <w:pPr>
        <w:jc w:val="both"/>
        <w:ind w:left="1940" w:right="1179" w:hanging="514"/>
        <w:spacing w:after="0" w:line="234" w:lineRule="auto"/>
        <w:tabs>
          <w:tab w:leader="none" w:pos="1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164,684 shares of Common Stock issuable upon exercise of outstanding Series C warrants to purchase shares of Common Stock, each with an exercise price of $18.234 per share, that were originally issued pursuant to a prospectus dated May 10, 2023 and a related prospectus supplement dated October 30, 2024 (the “</w:t>
      </w:r>
      <w:r>
        <w:rPr>
          <w:rFonts w:ascii="Arial" w:cs="Arial" w:eastAsia="Arial" w:hAnsi="Arial"/>
          <w:sz w:val="16"/>
          <w:szCs w:val="16"/>
          <w:b w:val="1"/>
          <w:bCs w:val="1"/>
          <w:i w:val="1"/>
          <w:iCs w:val="1"/>
          <w:color w:val="auto"/>
        </w:rPr>
        <w:t>Series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 Warrants</w:t>
      </w:r>
      <w:r>
        <w:rPr>
          <w:rFonts w:ascii="Arial" w:cs="Arial" w:eastAsia="Arial" w:hAnsi="Arial"/>
          <w:sz w:val="16"/>
          <w:szCs w:val="16"/>
          <w:color w:val="auto"/>
        </w:rPr>
        <w:t>”);</w:t>
      </w:r>
    </w:p>
    <w:p>
      <w:pPr>
        <w:spacing w:after="0" w:line="129" w:lineRule="exact"/>
        <w:rPr>
          <w:rFonts w:ascii="Arial" w:cs="Arial" w:eastAsia="Arial" w:hAnsi="Arial"/>
          <w:sz w:val="16"/>
          <w:szCs w:val="16"/>
          <w:color w:val="auto"/>
        </w:rPr>
      </w:pPr>
    </w:p>
    <w:p>
      <w:pPr>
        <w:jc w:val="both"/>
        <w:ind w:left="1940" w:right="1179" w:hanging="514"/>
        <w:spacing w:after="0" w:line="232" w:lineRule="auto"/>
        <w:tabs>
          <w:tab w:leader="none" w:pos="1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145,560 shares of Common Stock issuable upon exercise of outstanding warrants to purchase shares of Common Stock, each with an exercise price of $61.20 per share, that were originally issued pursuant to a prospectus dated May 10, 2023 and a related prospectus supplement dated April 4, 2024 (the “</w:t>
      </w:r>
      <w:r>
        <w:rPr>
          <w:rFonts w:ascii="Arial" w:cs="Arial" w:eastAsia="Arial" w:hAnsi="Arial"/>
          <w:sz w:val="16"/>
          <w:szCs w:val="16"/>
          <w:b w:val="1"/>
          <w:bCs w:val="1"/>
          <w:i w:val="1"/>
          <w:iCs w:val="1"/>
          <w:color w:val="auto"/>
        </w:rPr>
        <w:t>2024 Purchase Warrants</w:t>
      </w:r>
      <w:r>
        <w:rPr>
          <w:rFonts w:ascii="Arial" w:cs="Arial" w:eastAsia="Arial" w:hAnsi="Arial"/>
          <w:sz w:val="16"/>
          <w:szCs w:val="16"/>
          <w:color w:val="auto"/>
        </w:rPr>
        <w:t>”); and</w:t>
      </w:r>
    </w:p>
    <w:p>
      <w:pPr>
        <w:spacing w:after="0" w:line="136" w:lineRule="exact"/>
        <w:rPr>
          <w:rFonts w:ascii="Arial" w:cs="Arial" w:eastAsia="Arial" w:hAnsi="Arial"/>
          <w:sz w:val="16"/>
          <w:szCs w:val="16"/>
          <w:color w:val="auto"/>
        </w:rPr>
      </w:pPr>
    </w:p>
    <w:p>
      <w:pPr>
        <w:jc w:val="both"/>
        <w:ind w:left="1940" w:right="1179" w:hanging="514"/>
        <w:spacing w:after="0" w:line="232" w:lineRule="auto"/>
        <w:tabs>
          <w:tab w:leader="none" w:pos="1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361,011 shares of Common Stock issuable upon exercise of outstanding warrants to purchase shares of Common Stock, each with an exercise price of $191.40 per share, that were originally issued pursuant to a prospectus dated May 10, 2023 and a related prospectus supplement dated October 11, 2023 (the “</w:t>
      </w:r>
      <w:r>
        <w:rPr>
          <w:rFonts w:ascii="Arial" w:cs="Arial" w:eastAsia="Arial" w:hAnsi="Arial"/>
          <w:sz w:val="16"/>
          <w:szCs w:val="16"/>
          <w:b w:val="1"/>
          <w:bCs w:val="1"/>
          <w:i w:val="1"/>
          <w:iCs w:val="1"/>
          <w:color w:val="auto"/>
        </w:rPr>
        <w:t>2023 Purchase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collectively with the 2025 Purchase Warrants, the Series C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2024 Purchase 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130" w:lineRule="exact"/>
        <w:rPr>
          <w:sz w:val="20"/>
          <w:szCs w:val="20"/>
          <w:color w:val="auto"/>
        </w:rPr>
      </w:pPr>
    </w:p>
    <w:p>
      <w:pPr>
        <w:jc w:val="both"/>
        <w:ind w:left="1160" w:right="1179" w:firstLine="513"/>
        <w:spacing w:after="0" w:line="234" w:lineRule="auto"/>
        <w:rPr>
          <w:sz w:val="20"/>
          <w:szCs w:val="20"/>
          <w:color w:val="auto"/>
        </w:rPr>
      </w:pPr>
      <w:r>
        <w:rPr>
          <w:rFonts w:ascii="Arial" w:cs="Arial" w:eastAsia="Arial" w:hAnsi="Arial"/>
          <w:sz w:val="16"/>
          <w:szCs w:val="16"/>
          <w:color w:val="auto"/>
        </w:rPr>
        <w:t>The Warrants were originally offered, sold and issued in offerings registered under the Company’s Registration Statement on Form S-3 (File No. 333-270459). This opinion letter is being furnished in accordance with the requirements of Item 16 of Form S-1 and Item 601(b)(5)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791210</wp:posOffset>
            </wp:positionV>
            <wp:extent cx="557784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5">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39" w:name="page40"/>
    <w:bookmarkEnd w:id="39"/>
    <w:p>
      <w:pPr>
        <w:ind w:left="12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1659890</wp:posOffset>
            </wp:positionH>
            <wp:positionV relativeFrom="page">
              <wp:posOffset>319405</wp:posOffset>
            </wp:positionV>
            <wp:extent cx="943610" cy="3124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943610" cy="312420"/>
                    </a:xfrm>
                    <a:prstGeom prst="rect">
                      <a:avLst/>
                    </a:prstGeom>
                    <a:noFill/>
                  </pic:spPr>
                </pic:pic>
              </a:graphicData>
            </a:graphic>
          </wp:anchor>
        </w:drawing>
        <w:t>STYLEREF "Letter Dat</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169545</wp:posOffset>
            </wp:positionV>
            <wp:extent cx="423545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7">
                      <a:extLst>
                        <a:ext uri="{28A0092B-C50C-407E-A947-70E740481C1C}"/>
                      </a:extLst>
                    </a:blip>
                    <a:srcRect/>
                    <a:stretch>
                      <a:fillRect/>
                    </a:stretch>
                  </pic:blipFill>
                  <pic:spPr bwMode="auto">
                    <a:xfrm>
                      <a:off x="0" y="0"/>
                      <a:ext cx="42354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6"/>
          <w:szCs w:val="16"/>
          <w:color w:val="auto"/>
        </w:rPr>
        <w:t>of Regulation S-K promulgated under the Securities Act. Capitalized terms used and not defined herein shall have the meanings assigned to them in the Registration Statement.</w:t>
      </w:r>
    </w:p>
    <w:p>
      <w:pPr>
        <w:spacing w:after="0" w:line="128" w:lineRule="exact"/>
        <w:rPr>
          <w:sz w:val="20"/>
          <w:szCs w:val="20"/>
          <w:color w:val="auto"/>
        </w:rPr>
      </w:pPr>
    </w:p>
    <w:p>
      <w:pPr>
        <w:jc w:val="both"/>
        <w:ind w:left="1160" w:right="1179" w:firstLine="513"/>
        <w:spacing w:after="0" w:line="243" w:lineRule="auto"/>
        <w:rPr>
          <w:sz w:val="20"/>
          <w:szCs w:val="20"/>
          <w:color w:val="auto"/>
        </w:rPr>
      </w:pPr>
      <w:r>
        <w:rPr>
          <w:rFonts w:ascii="Arial" w:cs="Arial" w:eastAsia="Arial" w:hAnsi="Arial"/>
          <w:sz w:val="15"/>
          <w:szCs w:val="15"/>
          <w:color w:val="auto"/>
        </w:rPr>
        <w:t>We have reviewed the corporate proceedings taken by the Company with respect to the offer, sale and issuance of the Warrant Shares upon the exercise of the Warrants. We have also examined and relied upon originals or copies of such corporate records, documents, agreements or other instruments of the Company, and such certificates, records of public officials and such other papers, as we have deemed necessary or appropriate in connection herewith, including, but not limited to, the Company’s Amended and Restated Certificate of Incorporation, as amended, the Company’s Amended and Restated Bylaws, as amended, and the Warrants. As to all matters of fact, we have relied entirely upon certificates of officers of the Company, and have assumed, without independent inquiry, the accuracy of those certificates.</w:t>
      </w:r>
    </w:p>
    <w:p>
      <w:pPr>
        <w:spacing w:after="0" w:line="138" w:lineRule="exact"/>
        <w:rPr>
          <w:sz w:val="20"/>
          <w:szCs w:val="20"/>
          <w:color w:val="auto"/>
        </w:rPr>
      </w:pPr>
    </w:p>
    <w:p>
      <w:pPr>
        <w:jc w:val="both"/>
        <w:ind w:left="1160" w:right="1179" w:firstLine="513"/>
        <w:spacing w:after="0" w:line="227" w:lineRule="auto"/>
        <w:rPr>
          <w:sz w:val="20"/>
          <w:szCs w:val="20"/>
          <w:color w:val="auto"/>
        </w:rPr>
      </w:pPr>
      <w:r>
        <w:rPr>
          <w:rFonts w:ascii="Arial" w:cs="Arial" w:eastAsia="Arial" w:hAnsi="Arial"/>
          <w:sz w:val="16"/>
          <w:szCs w:val="16"/>
          <w:color w:val="auto"/>
        </w:rPr>
        <w:t>In rendering this opinion letter,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 except we make no such assumption as to the Company.</w:t>
      </w:r>
    </w:p>
    <w:p>
      <w:pPr>
        <w:spacing w:after="0" w:line="141" w:lineRule="exact"/>
        <w:rPr>
          <w:sz w:val="20"/>
          <w:szCs w:val="20"/>
          <w:color w:val="auto"/>
        </w:rPr>
      </w:pPr>
    </w:p>
    <w:p>
      <w:pPr>
        <w:jc w:val="both"/>
        <w:ind w:left="1160" w:right="1179" w:firstLine="513"/>
        <w:spacing w:after="0" w:line="234" w:lineRule="auto"/>
        <w:rPr>
          <w:sz w:val="20"/>
          <w:szCs w:val="20"/>
          <w:color w:val="auto"/>
        </w:rPr>
      </w:pPr>
      <w:r>
        <w:rPr>
          <w:rFonts w:ascii="Arial" w:cs="Arial" w:eastAsia="Arial" w:hAnsi="Arial"/>
          <w:sz w:val="16"/>
          <w:szCs w:val="16"/>
          <w:color w:val="auto"/>
        </w:rPr>
        <w:t>Subject to the limitations set forth herein, we have made such examination of law as we have deemed necessary for the purposes of expressing the opinions set forth in this letter. We express no opinion herein as to the law of any state or jurisdiction other than the General Corporation Law of the State of Delaware, as currently in effect.</w:t>
      </w:r>
    </w:p>
    <w:p>
      <w:pPr>
        <w:spacing w:after="0" w:line="138" w:lineRule="exact"/>
        <w:rPr>
          <w:sz w:val="20"/>
          <w:szCs w:val="20"/>
          <w:color w:val="auto"/>
        </w:rPr>
      </w:pPr>
    </w:p>
    <w:p>
      <w:pPr>
        <w:jc w:val="both"/>
        <w:ind w:left="1160" w:right="1179" w:firstLine="513"/>
        <w:spacing w:after="0" w:line="232" w:lineRule="auto"/>
        <w:rPr>
          <w:sz w:val="20"/>
          <w:szCs w:val="20"/>
          <w:color w:val="auto"/>
        </w:rPr>
      </w:pPr>
      <w:r>
        <w:rPr>
          <w:rFonts w:ascii="Arial" w:cs="Arial" w:eastAsia="Arial" w:hAnsi="Arial"/>
          <w:sz w:val="16"/>
          <w:szCs w:val="16"/>
          <w:color w:val="auto"/>
        </w:rPr>
        <w:t>Based on and subject to the foregoing and the exclusions, qualifications, limitations and other assumptions set forth in this opinion letter, we are of the opinion that the Warrant Shares, when issued and delivered upon exercise of the Warrants in accordance with the terms thereof against payment of the exercise price therefor, will be validly issued, fully paid and non-assessable.</w:t>
      </w:r>
    </w:p>
    <w:p>
      <w:pPr>
        <w:spacing w:after="0" w:line="137" w:lineRule="exact"/>
        <w:rPr>
          <w:sz w:val="20"/>
          <w:szCs w:val="20"/>
          <w:color w:val="auto"/>
        </w:rPr>
      </w:pPr>
    </w:p>
    <w:p>
      <w:pPr>
        <w:jc w:val="both"/>
        <w:ind w:left="1160" w:right="1179" w:firstLine="513"/>
        <w:spacing w:after="0" w:line="230" w:lineRule="auto"/>
        <w:rPr>
          <w:sz w:val="20"/>
          <w:szCs w:val="20"/>
          <w:color w:val="auto"/>
        </w:rPr>
      </w:pPr>
      <w:r>
        <w:rPr>
          <w:rFonts w:ascii="Arial" w:cs="Arial" w:eastAsia="Arial" w:hAnsi="Arial"/>
          <w:sz w:val="16"/>
          <w:szCs w:val="16"/>
          <w:color w:val="auto"/>
        </w:rPr>
        <w:t>In rendering this opinion, we have assumed that, at the time of each issuance of Warrant Shares, (i) the resolutions of the board of directors of the Company that authorized the offer, sale and issuance of the Warrants and the Warrant Shares will remain in full force and effect, and the Company will take no action inconsistent with such resolutions, and (ii) the Company will have a sufficient number of authorized but unissued and otherwise unreserved shares of Common Stock available for issuance upon exercise of the Warrants.</w:t>
      </w:r>
    </w:p>
    <w:p>
      <w:pPr>
        <w:spacing w:after="0" w:line="139" w:lineRule="exact"/>
        <w:rPr>
          <w:sz w:val="20"/>
          <w:szCs w:val="20"/>
          <w:color w:val="auto"/>
        </w:rPr>
      </w:pPr>
    </w:p>
    <w:p>
      <w:pPr>
        <w:jc w:val="both"/>
        <w:ind w:left="1160" w:right="1179" w:firstLine="513"/>
        <w:spacing w:after="0" w:line="234" w:lineRule="auto"/>
        <w:rPr>
          <w:sz w:val="20"/>
          <w:szCs w:val="20"/>
          <w:color w:val="auto"/>
        </w:rPr>
      </w:pPr>
      <w:r>
        <w:rPr>
          <w:rFonts w:ascii="Arial" w:cs="Arial" w:eastAsia="Arial" w:hAnsi="Arial"/>
          <w:sz w:val="16"/>
          <w:szCs w:val="16"/>
          <w:color w:val="auto"/>
        </w:rPr>
        <w:t>This opinion letter is given as of the date hereof, and we assume no obligation to supplement this opinion letter if any applicable law changes after the date hereof or if we become aware of any facts or circumstances that may change the opinions expressed herein after the date hereof.</w:t>
      </w:r>
    </w:p>
    <w:p>
      <w:pPr>
        <w:spacing w:after="0" w:line="138" w:lineRule="exact"/>
        <w:rPr>
          <w:sz w:val="20"/>
          <w:szCs w:val="20"/>
          <w:color w:val="auto"/>
        </w:rPr>
      </w:pPr>
    </w:p>
    <w:p>
      <w:pPr>
        <w:jc w:val="both"/>
        <w:ind w:left="1160" w:right="1179" w:firstLine="513"/>
        <w:spacing w:after="0" w:line="284" w:lineRule="auto"/>
        <w:rPr>
          <w:sz w:val="20"/>
          <w:szCs w:val="20"/>
          <w:color w:val="auto"/>
        </w:rPr>
      </w:pPr>
      <w:r>
        <w:rPr>
          <w:rFonts w:ascii="Arial" w:cs="Arial" w:eastAsia="Arial" w:hAnsi="Arial"/>
          <w:sz w:val="15"/>
          <w:szCs w:val="15"/>
          <w:color w:val="auto"/>
        </w:rPr>
        <w:t>We hereby consent to the filing of this opinion letter as Exhibit 5.1 to the Registration Statement and to the reference to this firm under the heading “Legal Matters”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770255</wp:posOffset>
            </wp:positionV>
            <wp:extent cx="557784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8">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40" w:name="page41"/>
    <w:bookmarkEnd w:id="40"/>
    <w:p>
      <w:pPr>
        <w:ind w:left="12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1659890</wp:posOffset>
            </wp:positionH>
            <wp:positionV relativeFrom="page">
              <wp:posOffset>319405</wp:posOffset>
            </wp:positionV>
            <wp:extent cx="943610" cy="3124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943610" cy="312420"/>
                    </a:xfrm>
                    <a:prstGeom prst="rect">
                      <a:avLst/>
                    </a:prstGeom>
                    <a:noFill/>
                  </pic:spPr>
                </pic:pic>
              </a:graphicData>
            </a:graphic>
          </wp:anchor>
        </w:drawing>
        <w:t>STYLEREF "Letter Dat</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169545</wp:posOffset>
            </wp:positionV>
            <wp:extent cx="423545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0">
                      <a:extLst>
                        <a:ext uri="{28A0092B-C50C-407E-A947-70E740481C1C}"/>
                      </a:extLst>
                    </a:blip>
                    <a:srcRect/>
                    <a:stretch>
                      <a:fillRect/>
                    </a:stretch>
                  </pic:blipFill>
                  <pic:spPr bwMode="auto">
                    <a:xfrm>
                      <a:off x="0" y="0"/>
                      <a:ext cx="42354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right="1179"/>
        <w:spacing w:after="0" w:line="251" w:lineRule="auto"/>
        <w:rPr>
          <w:sz w:val="20"/>
          <w:szCs w:val="20"/>
          <w:color w:val="auto"/>
        </w:rPr>
      </w:pPr>
      <w:r>
        <w:rPr>
          <w:rFonts w:ascii="Arial" w:cs="Arial" w:eastAsia="Arial" w:hAnsi="Arial"/>
          <w:sz w:val="16"/>
          <w:szCs w:val="16"/>
          <w:color w:val="auto"/>
        </w:rPr>
        <w:t>In rendering this opinion letter and giving this consent, we do not admit that we are an “expert” within the meaning of the Securities Act or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30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 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2540</wp:posOffset>
            </wp:positionV>
            <wp:extent cx="207010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1">
                      <a:extLst>
                        <a:ext uri="{28A0092B-C50C-407E-A947-70E740481C1C}"/>
                      </a:extLst>
                    </a:blip>
                    <a:srcRect/>
                    <a:stretch>
                      <a:fillRect/>
                    </a:stretch>
                  </pic:blipFill>
                  <pic:spPr bwMode="auto">
                    <a:xfrm>
                      <a:off x="0" y="0"/>
                      <a:ext cx="2070100" cy="698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6"/>
          <w:szCs w:val="16"/>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4623435</wp:posOffset>
            </wp:positionV>
            <wp:extent cx="557784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2">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6"/>
          <w:szCs w:val="16"/>
          <w:b w:val="1"/>
          <w:bCs w:val="1"/>
          <w:color w:val="auto"/>
        </w:rPr>
        <w:t>BIONANO GENOMICS, INC.</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NON-EMPLOYEE DIRECTOR COMPENSATION POLICY</w:t>
      </w:r>
    </w:p>
    <w:p>
      <w:pPr>
        <w:spacing w:after="0" w:line="144" w:lineRule="exact"/>
        <w:rPr>
          <w:sz w:val="20"/>
          <w:szCs w:val="20"/>
          <w:color w:val="auto"/>
        </w:rPr>
      </w:pPr>
    </w:p>
    <w:p>
      <w:pPr>
        <w:ind w:left="1160" w:right="1219"/>
        <w:spacing w:after="0" w:line="229" w:lineRule="auto"/>
        <w:rPr>
          <w:sz w:val="20"/>
          <w:szCs w:val="20"/>
          <w:color w:val="auto"/>
        </w:rPr>
      </w:pPr>
      <w:r>
        <w:rPr>
          <w:rFonts w:ascii="Arial" w:cs="Arial" w:eastAsia="Arial" w:hAnsi="Arial"/>
          <w:sz w:val="16"/>
          <w:szCs w:val="16"/>
          <w:color w:val="auto"/>
        </w:rPr>
        <w:t>Each member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who is not also serving as an employee of or consultant to Bionano Genomics,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or any of its subsidiaries (each such member, an “</w:t>
      </w:r>
      <w:r>
        <w:rPr>
          <w:rFonts w:ascii="Arial" w:cs="Arial" w:eastAsia="Arial" w:hAnsi="Arial"/>
          <w:sz w:val="16"/>
          <w:szCs w:val="16"/>
          <w:b w:val="1"/>
          <w:bCs w:val="1"/>
          <w:i w:val="1"/>
          <w:iCs w:val="1"/>
          <w:color w:val="auto"/>
        </w:rPr>
        <w:t>Eligible Director</w:t>
      </w:r>
      <w:r>
        <w:rPr>
          <w:rFonts w:ascii="Arial" w:cs="Arial" w:eastAsia="Arial" w:hAnsi="Arial"/>
          <w:sz w:val="16"/>
          <w:szCs w:val="16"/>
          <w:color w:val="auto"/>
        </w:rPr>
        <w:t>”) will receive the compensation described in this policy for his or her Board service. An Eligible Director may decline all or any portion of his or her compensation by giving notice to the Company prior to the date cash may be paid or equity awards are to be granted, as the case may be. This policy may be amended at any time in the sole discretion of the Board or the Compensation Committee of the Board.</w:t>
      </w:r>
    </w:p>
    <w:p>
      <w:pPr>
        <w:spacing w:after="0" w:line="13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Annual Cash Compensation</w:t>
      </w:r>
    </w:p>
    <w:p>
      <w:pPr>
        <w:spacing w:after="0" w:line="3" w:lineRule="exact"/>
        <w:rPr>
          <w:sz w:val="20"/>
          <w:szCs w:val="20"/>
          <w:color w:val="auto"/>
        </w:rPr>
      </w:pPr>
    </w:p>
    <w:p>
      <w:pPr>
        <w:ind w:left="1160" w:right="1199"/>
        <w:spacing w:after="0" w:line="226" w:lineRule="auto"/>
        <w:rPr>
          <w:sz w:val="20"/>
          <w:szCs w:val="20"/>
          <w:color w:val="auto"/>
        </w:rPr>
      </w:pPr>
      <w:r>
        <w:rPr>
          <w:rFonts w:ascii="Arial" w:cs="Arial" w:eastAsia="Arial" w:hAnsi="Arial"/>
          <w:sz w:val="16"/>
          <w:szCs w:val="16"/>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141" w:lineRule="exact"/>
        <w:rPr>
          <w:sz w:val="20"/>
          <w:szCs w:val="20"/>
          <w:color w:val="auto"/>
        </w:rPr>
      </w:pPr>
    </w:p>
    <w:p>
      <w:pPr>
        <w:ind w:left="1680" w:hanging="254"/>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Annual Board Service Retainer:</w:t>
      </w:r>
    </w:p>
    <w:p>
      <w:pPr>
        <w:spacing w:after="0" w:line="1" w:lineRule="exact"/>
        <w:rPr>
          <w:rFonts w:ascii="Arial" w:cs="Arial" w:eastAsia="Arial" w:hAnsi="Arial"/>
          <w:sz w:val="16"/>
          <w:szCs w:val="16"/>
          <w:color w:val="auto"/>
        </w:rPr>
      </w:pPr>
    </w:p>
    <w:p>
      <w:pPr>
        <w:ind w:left="2200" w:hanging="261"/>
        <w:spacing w:after="0" w:line="223"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Eligible Directors: $40,000</w:t>
      </w:r>
    </w:p>
    <w:p>
      <w:pPr>
        <w:ind w:left="2200" w:right="1359" w:hanging="261"/>
        <w:spacing w:after="0" w:line="223"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Chairman of the Board Service Retainer (in addition to Eligible Director Service Retainer): $20,000</w:t>
      </w:r>
    </w:p>
    <w:p>
      <w:pPr>
        <w:ind w:left="2200" w:right="1539" w:hanging="261"/>
        <w:spacing w:after="0" w:line="236"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Lean Independent Director (in addition to Eligible Director Service Retainer): $20,000</w:t>
      </w:r>
    </w:p>
    <w:p>
      <w:pPr>
        <w:spacing w:after="0" w:line="137" w:lineRule="exact"/>
        <w:rPr>
          <w:rFonts w:ascii="Arial" w:cs="Arial" w:eastAsia="Arial" w:hAnsi="Arial"/>
          <w:sz w:val="16"/>
          <w:szCs w:val="16"/>
          <w:color w:val="auto"/>
        </w:rPr>
      </w:pPr>
    </w:p>
    <w:p>
      <w:pPr>
        <w:ind w:left="1680" w:hanging="254"/>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Annual Committee Chair Service Retainer:</w:t>
      </w:r>
    </w:p>
    <w:p>
      <w:pPr>
        <w:spacing w:after="0" w:line="1" w:lineRule="exact"/>
        <w:rPr>
          <w:rFonts w:ascii="Arial" w:cs="Arial" w:eastAsia="Arial" w:hAnsi="Arial"/>
          <w:sz w:val="16"/>
          <w:szCs w:val="16"/>
          <w:color w:val="auto"/>
        </w:rPr>
      </w:pPr>
    </w:p>
    <w:p>
      <w:pPr>
        <w:ind w:left="2200" w:hanging="261"/>
        <w:spacing w:after="0" w:line="223"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Chairman of the Audit Committee: $20,000</w:t>
      </w:r>
    </w:p>
    <w:p>
      <w:pPr>
        <w:ind w:left="2200" w:hanging="261"/>
        <w:spacing w:after="0" w:line="223"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Chairman of the Compensation Committee: $15,000</w:t>
      </w:r>
    </w:p>
    <w:p>
      <w:pPr>
        <w:ind w:left="2200" w:hanging="261"/>
        <w:spacing w:after="0" w:line="223"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Chairman of the Nominating and Corporate Governance Committee: $10,000</w:t>
      </w:r>
    </w:p>
    <w:p>
      <w:pPr>
        <w:ind w:left="2200" w:hanging="261"/>
        <w:spacing w:after="0"/>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Chairman of the Science and Technology Committee: $10,000</w:t>
      </w:r>
    </w:p>
    <w:p>
      <w:pPr>
        <w:spacing w:after="0" w:line="144" w:lineRule="exact"/>
        <w:rPr>
          <w:rFonts w:ascii="Arial" w:cs="Arial" w:eastAsia="Arial" w:hAnsi="Arial"/>
          <w:sz w:val="16"/>
          <w:szCs w:val="16"/>
          <w:color w:val="auto"/>
        </w:rPr>
      </w:pPr>
    </w:p>
    <w:p>
      <w:pPr>
        <w:ind w:left="1680" w:hanging="254"/>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Annul Committee Member Service Retainer (not applicable to Committee Chairs):</w:t>
      </w:r>
    </w:p>
    <w:p>
      <w:pPr>
        <w:spacing w:after="0" w:line="1" w:lineRule="exact"/>
        <w:rPr>
          <w:rFonts w:ascii="Arial" w:cs="Arial" w:eastAsia="Arial" w:hAnsi="Arial"/>
          <w:sz w:val="16"/>
          <w:szCs w:val="16"/>
          <w:color w:val="auto"/>
        </w:rPr>
      </w:pPr>
    </w:p>
    <w:p>
      <w:pPr>
        <w:ind w:left="2200" w:hanging="261"/>
        <w:spacing w:after="0" w:line="223"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Member of the Audit Committee: $10,000</w:t>
      </w:r>
    </w:p>
    <w:p>
      <w:pPr>
        <w:ind w:left="2200" w:hanging="261"/>
        <w:spacing w:after="0" w:line="223"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Member of the Compensation Committee: $7,500</w:t>
      </w:r>
    </w:p>
    <w:p>
      <w:pPr>
        <w:ind w:left="2200" w:hanging="261"/>
        <w:spacing w:after="0" w:line="223"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 $5,000</w:t>
      </w:r>
    </w:p>
    <w:p>
      <w:pPr>
        <w:ind w:left="2200" w:hanging="261"/>
        <w:spacing w:after="0"/>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Member of the Science and Technology Committee: $5,000</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Equity Compensation</w:t>
      </w:r>
    </w:p>
    <w:p>
      <w:pPr>
        <w:spacing w:after="0" w:line="3" w:lineRule="exact"/>
        <w:rPr>
          <w:sz w:val="20"/>
          <w:szCs w:val="20"/>
          <w:color w:val="auto"/>
        </w:rPr>
      </w:pPr>
    </w:p>
    <w:p>
      <w:pPr>
        <w:jc w:val="both"/>
        <w:ind w:left="1160" w:right="1179"/>
        <w:spacing w:after="0" w:line="229" w:lineRule="auto"/>
        <w:rPr>
          <w:sz w:val="20"/>
          <w:szCs w:val="20"/>
          <w:color w:val="auto"/>
        </w:rPr>
      </w:pPr>
      <w:r>
        <w:rPr>
          <w:rFonts w:ascii="Arial" w:cs="Arial" w:eastAsia="Arial" w:hAnsi="Arial"/>
          <w:sz w:val="16"/>
          <w:szCs w:val="16"/>
          <w:color w:val="auto"/>
        </w:rPr>
        <w:t>The equity compensation set forth below will be granted under the Company’s 2018 Equity Incentive Plan, as amended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subject to the approval of the Plan by the Company’s stockholders. All stock options granted under this policy will be nonstatutory stock options, with an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683260</wp:posOffset>
            </wp:positionV>
            <wp:extent cx="557784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3">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42" w:name="page43"/>
    <w:bookmarkEnd w:id="42"/>
    <w:p>
      <w:pPr>
        <w:jc w:val="both"/>
        <w:ind w:left="1160" w:right="1179"/>
        <w:spacing w:after="0" w:line="230" w:lineRule="auto"/>
        <w:rPr>
          <w:sz w:val="20"/>
          <w:szCs w:val="20"/>
          <w:color w:val="auto"/>
        </w:rPr>
      </w:pPr>
      <w:r>
        <w:rPr>
          <w:rFonts w:ascii="Arial" w:cs="Arial" w:eastAsia="Arial" w:hAnsi="Arial"/>
          <w:sz w:val="16"/>
          <w:szCs w:val="16"/>
          <w:color w:val="auto"/>
        </w:rPr>
        <w:t>per share equal to 100% of the Fair Market Value (as defined in the Plan) of the underlying common stock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on the date of grant, and a term of ten years from the date of grant (subject to earlier termination in connection with a termination of service as provided in the Plan, provided that upon a termination of service other than for death, disability or cause, the post-termination exercise period will be 12 months from the date of termination).</w:t>
      </w:r>
    </w:p>
    <w:p>
      <w:pPr>
        <w:spacing w:after="0" w:line="150" w:lineRule="exact"/>
        <w:rPr>
          <w:sz w:val="20"/>
          <w:szCs w:val="20"/>
          <w:color w:val="auto"/>
        </w:rPr>
      </w:pPr>
    </w:p>
    <w:p>
      <w:pPr>
        <w:jc w:val="both"/>
        <w:ind w:left="1680" w:right="1179" w:hanging="254"/>
        <w:spacing w:after="0" w:line="225"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6"/>
          <w:szCs w:val="16"/>
          <w:u w:val="single" w:color="auto"/>
          <w:color w:val="auto"/>
        </w:rPr>
        <w:t>Initial Grant</w:t>
      </w:r>
      <w:r>
        <w:rPr>
          <w:rFonts w:ascii="Arial" w:cs="Arial" w:eastAsia="Arial" w:hAnsi="Arial"/>
          <w:sz w:val="16"/>
          <w:szCs w:val="16"/>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to purchase Common Stock with an aggregate Black-Scholes option value of $247,500 (the “</w:t>
      </w:r>
      <w:r>
        <w:rPr>
          <w:rFonts w:ascii="Arial" w:cs="Arial" w:eastAsia="Arial" w:hAnsi="Arial"/>
          <w:sz w:val="16"/>
          <w:szCs w:val="16"/>
          <w:b w:val="1"/>
          <w:bCs w:val="1"/>
          <w:i w:val="1"/>
          <w:iCs w:val="1"/>
          <w:color w:val="auto"/>
        </w:rPr>
        <w:t>Initial Grant</w:t>
      </w:r>
      <w:r>
        <w:rPr>
          <w:rFonts w:ascii="Arial" w:cs="Arial" w:eastAsia="Arial" w:hAnsi="Arial"/>
          <w:sz w:val="16"/>
          <w:szCs w:val="16"/>
          <w:color w:val="auto"/>
        </w:rPr>
        <w:t>”). The shares subject to each Initial Grant will vest in equal monthly installments over a three-year period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154" w:lineRule="exact"/>
        <w:rPr>
          <w:rFonts w:ascii="Arial" w:cs="Arial" w:eastAsia="Arial" w:hAnsi="Arial"/>
          <w:sz w:val="17"/>
          <w:szCs w:val="17"/>
          <w:color w:val="auto"/>
        </w:rPr>
      </w:pPr>
    </w:p>
    <w:p>
      <w:pPr>
        <w:jc w:val="both"/>
        <w:ind w:left="1680" w:right="1179" w:hanging="254"/>
        <w:spacing w:after="0" w:line="225"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6"/>
          <w:szCs w:val="16"/>
          <w:u w:val="single" w:color="auto"/>
          <w:color w:val="auto"/>
        </w:rPr>
        <w:t>Annual Grant</w:t>
      </w:r>
      <w:r>
        <w:rPr>
          <w:rFonts w:ascii="Arial" w:cs="Arial" w:eastAsia="Arial" w:hAnsi="Arial"/>
          <w:sz w:val="16"/>
          <w:szCs w:val="16"/>
          <w:color w:val="auto"/>
        </w:rPr>
        <w:t>: On the date of each annual stockholder meeting of the Company held after the Effective Date, each Eligible Director who continues to serve as a non-employee member of the Board following such stockholder meeting will be automatically, and without further action by the Board or Compensation Committee of the Board, granted a stock option to purchase Common Stock with an aggregate Black-Scholes option value of $165,000 (the “</w:t>
      </w:r>
      <w:r>
        <w:rPr>
          <w:rFonts w:ascii="Arial" w:cs="Arial" w:eastAsia="Arial" w:hAnsi="Arial"/>
          <w:sz w:val="16"/>
          <w:szCs w:val="16"/>
          <w:b w:val="1"/>
          <w:bCs w:val="1"/>
          <w:i w:val="1"/>
          <w:iCs w:val="1"/>
          <w:color w:val="auto"/>
        </w:rPr>
        <w:t>Annual Grant</w:t>
      </w:r>
      <w:r>
        <w:rPr>
          <w:rFonts w:ascii="Arial" w:cs="Arial" w:eastAsia="Arial" w:hAnsi="Arial"/>
          <w:sz w:val="16"/>
          <w:szCs w:val="16"/>
          <w:color w:val="auto"/>
        </w:rPr>
        <w:t>”). The shares subject to the Annual Grant will vest in equal monthly installments over the 12 months following the date of grant, provided that the Annual Grant will in any case be fully vested on the date of Company’s next annual stockholder meeting, subject to the Eligible Director’s Continuous Service (as defined in the Plan) through such vesting date and will vest in full upon a Change in Control (as defined in the Plan).</w:t>
      </w:r>
    </w:p>
    <w:p>
      <w:pPr>
        <w:spacing w:after="0" w:line="144" w:lineRule="exact"/>
        <w:rPr>
          <w:sz w:val="20"/>
          <w:szCs w:val="20"/>
          <w:color w:val="auto"/>
        </w:rPr>
      </w:pPr>
    </w:p>
    <w:p>
      <w:pPr>
        <w:ind w:left="1160" w:right="1179"/>
        <w:spacing w:after="0" w:line="251" w:lineRule="auto"/>
        <w:rPr>
          <w:sz w:val="20"/>
          <w:szCs w:val="20"/>
          <w:color w:val="auto"/>
        </w:rPr>
      </w:pPr>
      <w:r>
        <w:rPr>
          <w:rFonts w:ascii="Arial" w:cs="Arial" w:eastAsia="Arial" w:hAnsi="Arial"/>
          <w:sz w:val="16"/>
          <w:szCs w:val="16"/>
          <w:color w:val="auto"/>
        </w:rPr>
        <w:t>The number of shares subject to each of the Annual Grant and the Initial Grant may be capped by the Compensation Committee or the Board of Directors.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Amended effective as of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697230</wp:posOffset>
            </wp:positionV>
            <wp:extent cx="557784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4">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149" w:right="1440" w:bottom="1440" w:gutter="0" w:footer="0" w:header="0"/>
        </w:sectPr>
      </w:pPr>
    </w:p>
    <w:bookmarkStart w:id="43" w:name="page44"/>
    <w:bookmarkEnd w:id="43"/>
    <w:p>
      <w:pPr>
        <w:jc w:val="center"/>
        <w:ind w:right="-240"/>
        <w:spacing w:after="0"/>
        <w:rPr>
          <w:sz w:val="20"/>
          <w:szCs w:val="20"/>
          <w:color w:val="auto"/>
        </w:rPr>
      </w:pPr>
      <w:r>
        <w:rPr>
          <w:rFonts w:ascii="Trebuchet MS" w:cs="Trebuchet MS" w:eastAsia="Trebuchet MS" w:hAnsi="Trebuchet MS"/>
          <w:sz w:val="15"/>
          <w:szCs w:val="15"/>
          <w:u w:val="single" w:color="auto"/>
          <w:color w:val="auto"/>
        </w:rPr>
        <w:t>Consent of Independent Registered Public Accounting Firm</w:t>
      </w:r>
    </w:p>
    <w:p>
      <w:pPr>
        <w:spacing w:after="0" w:line="339" w:lineRule="exact"/>
        <w:rPr>
          <w:sz w:val="20"/>
          <w:szCs w:val="20"/>
          <w:color w:val="auto"/>
        </w:rPr>
      </w:pPr>
    </w:p>
    <w:p>
      <w:pPr>
        <w:jc w:val="both"/>
        <w:ind w:left="1420" w:right="1179"/>
        <w:spacing w:after="0" w:line="237" w:lineRule="auto"/>
        <w:rPr>
          <w:sz w:val="20"/>
          <w:szCs w:val="20"/>
          <w:color w:val="auto"/>
        </w:rPr>
      </w:pPr>
      <w:r>
        <w:rPr>
          <w:rFonts w:ascii="Trebuchet MS" w:cs="Trebuchet MS" w:eastAsia="Trebuchet MS" w:hAnsi="Trebuchet MS"/>
          <w:sz w:val="15"/>
          <w:szCs w:val="15"/>
          <w:color w:val="auto"/>
        </w:rPr>
        <w:t>We hereby consent to the incorporation by reference in the Prospectus constituting a part of this Registration Statement of our report dated March 23, 2026, relating to the consolidated financial statements of Bionano Genomics, Inc. (the Company) appearing in the Company’s Annual Report on Form 10-K for the year ended December 31, 2025. Our report contains an explanatory paragraph regarding the Company’s ability to continue as a going concern.</w:t>
      </w:r>
    </w:p>
    <w:p>
      <w:pPr>
        <w:spacing w:after="0" w:line="166" w:lineRule="exact"/>
        <w:rPr>
          <w:sz w:val="20"/>
          <w:szCs w:val="20"/>
          <w:color w:val="auto"/>
        </w:rPr>
      </w:pPr>
    </w:p>
    <w:p>
      <w:pPr>
        <w:ind w:left="1420"/>
        <w:spacing w:after="0"/>
        <w:rPr>
          <w:sz w:val="20"/>
          <w:szCs w:val="20"/>
          <w:color w:val="auto"/>
        </w:rPr>
      </w:pPr>
      <w:r>
        <w:rPr>
          <w:rFonts w:ascii="Trebuchet MS" w:cs="Trebuchet MS" w:eastAsia="Trebuchet MS" w:hAnsi="Trebuchet MS"/>
          <w:sz w:val="15"/>
          <w:szCs w:val="15"/>
          <w:color w:val="auto"/>
        </w:rPr>
        <w:t>We also consent to the reference to us under the caption “Experts” in the Prospectus.</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Trebuchet MS" w:cs="Trebuchet MS" w:eastAsia="Trebuchet MS" w:hAnsi="Trebuchet MS"/>
          <w:sz w:val="15"/>
          <w:szCs w:val="15"/>
          <w:color w:val="auto"/>
        </w:rPr>
        <w:t>/s/ BDO USA, P.C.</w:t>
      </w:r>
    </w:p>
    <w:p>
      <w:pPr>
        <w:spacing w:after="0" w:line="104" w:lineRule="exact"/>
        <w:rPr>
          <w:sz w:val="20"/>
          <w:szCs w:val="20"/>
          <w:color w:val="auto"/>
        </w:rPr>
      </w:pPr>
    </w:p>
    <w:p>
      <w:pPr>
        <w:ind w:left="1420"/>
        <w:spacing w:after="0"/>
        <w:rPr>
          <w:sz w:val="20"/>
          <w:szCs w:val="20"/>
          <w:color w:val="auto"/>
        </w:rPr>
      </w:pPr>
      <w:r>
        <w:rPr>
          <w:rFonts w:ascii="Trebuchet MS" w:cs="Trebuchet MS" w:eastAsia="Trebuchet MS" w:hAnsi="Trebuchet MS"/>
          <w:sz w:val="15"/>
          <w:szCs w:val="15"/>
          <w:color w:val="auto"/>
        </w:rPr>
        <w:t>San Diego, California</w:t>
      </w:r>
    </w:p>
    <w:p>
      <w:pPr>
        <w:spacing w:after="0" w:line="93" w:lineRule="exact"/>
        <w:rPr>
          <w:sz w:val="20"/>
          <w:szCs w:val="20"/>
          <w:color w:val="auto"/>
        </w:rPr>
      </w:pPr>
    </w:p>
    <w:p>
      <w:pPr>
        <w:ind w:left="1420"/>
        <w:spacing w:after="0"/>
        <w:rPr>
          <w:sz w:val="20"/>
          <w:szCs w:val="20"/>
          <w:color w:val="auto"/>
        </w:rPr>
      </w:pPr>
      <w:r>
        <w:rPr>
          <w:rFonts w:ascii="Trebuchet MS" w:cs="Trebuchet MS" w:eastAsia="Trebuchet MS" w:hAnsi="Trebuchet MS"/>
          <w:sz w:val="15"/>
          <w:szCs w:val="15"/>
          <w:color w:val="auto"/>
        </w:rPr>
        <w:t>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909320</wp:posOffset>
            </wp:positionV>
            <wp:extent cx="557784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5">
                      <a:extLst>
                        <a:ext uri="{28A0092B-C50C-407E-A947-70E740481C1C}"/>
                      </a:extLst>
                    </a:blip>
                    <a:srcRect/>
                    <a:stretch>
                      <a:fillRect/>
                    </a:stretch>
                  </pic:blipFill>
                  <pic:spPr bwMode="auto">
                    <a:xfrm>
                      <a:off x="0" y="0"/>
                      <a:ext cx="5577840" cy="38735"/>
                    </a:xfrm>
                    <a:prstGeom prst="rect">
                      <a:avLst/>
                    </a:prstGeom>
                    <a:noFill/>
                  </pic:spPr>
                </pic:pic>
              </a:graphicData>
            </a:graphic>
          </wp:anchor>
        </w:drawing>
      </w:r>
    </w:p>
    <w:p>
      <w:pPr>
        <w:sectPr>
          <w:pgSz w:w="11900" w:h="16838" w:orient="portrait"/>
          <w:cols w:equalWidth="0" w:num="1">
            <w:col w:w="9019"/>
          </w:cols>
          <w:pgMar w:left="1440" w:top="1335" w:right="1440" w:bottom="1440" w:gutter="0" w:footer="0" w:header="0"/>
        </w:sectPr>
      </w:pPr>
    </w:p>
    <w:bookmarkStart w:id="44" w:name="page45"/>
    <w:bookmarkEnd w:id="44"/>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Bionano Genomics, Inc.</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4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right"/>
              <w:ind w:right="54"/>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Maximum</w:t>
            </w: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20"/>
              <w:spacing w:after="0" w:line="171"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820" w:type="dxa"/>
            <w:vAlign w:val="bottom"/>
            <w:shd w:val="clear" w:color="auto" w:fill="9ADAF6"/>
          </w:tcPr>
          <w:p>
            <w:pPr>
              <w:jc w:val="center"/>
              <w:ind w:left="36"/>
              <w:spacing w:after="0" w:line="171" w:lineRule="exact"/>
              <w:rPr>
                <w:sz w:val="20"/>
                <w:szCs w:val="20"/>
                <w:color w:val="auto"/>
              </w:rPr>
            </w:pPr>
            <w:r>
              <w:rPr>
                <w:rFonts w:ascii="Arial" w:cs="Arial" w:eastAsia="Arial" w:hAnsi="Arial"/>
                <w:sz w:val="17"/>
                <w:szCs w:val="17"/>
                <w:b w:val="1"/>
                <w:bCs w:val="1"/>
                <w:color w:val="auto"/>
                <w:w w:val="99"/>
              </w:rPr>
              <w:t>or Carry</w:t>
            </w: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line="171"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ind w:left="1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3"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93" w:lineRule="exact"/>
              <w:rPr>
                <w:sz w:val="20"/>
                <w:szCs w:val="20"/>
                <w:color w:val="auto"/>
              </w:rPr>
            </w:pPr>
            <w:r>
              <w:rPr>
                <w:rFonts w:ascii="Arial" w:cs="Arial" w:eastAsia="Arial" w:hAnsi="Arial"/>
                <w:sz w:val="17"/>
                <w:szCs w:val="17"/>
                <w:b w:val="1"/>
                <w:bCs w:val="1"/>
                <w:color w:val="auto"/>
                <w:w w:val="98"/>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6"/>
                <w:szCs w:val="16"/>
                <w:color w:val="auto"/>
              </w:rPr>
            </w:pPr>
          </w:p>
        </w:tc>
        <w:tc>
          <w:tcPr>
            <w:tcW w:w="11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Rule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40" w:type="dxa"/>
            <w:vAlign w:val="bottom"/>
          </w:tcPr>
          <w:p>
            <w:pPr>
              <w:spacing w:after="0"/>
              <w:rPr>
                <w:sz w:val="10"/>
                <w:szCs w:val="10"/>
                <w:color w:val="auto"/>
              </w:rPr>
            </w:pPr>
          </w:p>
        </w:tc>
        <w:tc>
          <w:tcPr>
            <w:tcW w:w="11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right w:val="single" w:sz="8" w:color="auto"/>
            </w:tcBorders>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14"/>
                <w:szCs w:val="14"/>
                <w:color w:val="auto"/>
              </w:rPr>
            </w:pPr>
          </w:p>
        </w:tc>
        <w:tc>
          <w:tcPr>
            <w:tcW w:w="7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820" w:type="dxa"/>
            <w:vAlign w:val="bottom"/>
            <w:shd w:val="clear" w:color="auto" w:fill="E7E7E2"/>
          </w:tcPr>
          <w:p>
            <w:pPr>
              <w:jc w:val="center"/>
              <w:ind w:left="36"/>
              <w:spacing w:after="0" w:line="171" w:lineRule="exact"/>
              <w:rPr>
                <w:sz w:val="20"/>
                <w:szCs w:val="20"/>
                <w:color w:val="auto"/>
              </w:rPr>
            </w:pPr>
            <w:r>
              <w:rPr>
                <w:rFonts w:ascii="Arial" w:cs="Arial" w:eastAsia="Arial" w:hAnsi="Arial"/>
                <w:sz w:val="17"/>
                <w:szCs w:val="17"/>
                <w:color w:val="auto"/>
                <w:w w:val="98"/>
              </w:rPr>
              <w:t>Other</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661,377</w:t>
            </w: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$ 15.12</w:t>
            </w:r>
          </w:p>
        </w:tc>
        <w:tc>
          <w:tcPr>
            <w:tcW w:w="4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$ 870.00</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jc w:val="right"/>
              <w:spacing w:after="0" w:line="193" w:lineRule="exact"/>
              <w:rPr>
                <w:sz w:val="20"/>
                <w:szCs w:val="20"/>
                <w:color w:val="auto"/>
              </w:rPr>
            </w:pPr>
            <w:r>
              <w:rPr>
                <w:rFonts w:ascii="Arial" w:cs="Arial" w:eastAsia="Arial" w:hAnsi="Arial"/>
                <w:sz w:val="17"/>
                <w:szCs w:val="17"/>
                <w:color w:val="auto"/>
                <w:w w:val="99"/>
              </w:rPr>
              <w:t>10,000,020.24</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36"/>
              <w:spacing w:after="0"/>
              <w:rPr>
                <w:sz w:val="20"/>
                <w:szCs w:val="20"/>
                <w:color w:val="auto"/>
              </w:rPr>
            </w:pPr>
            <w:r>
              <w:rPr>
                <w:rFonts w:ascii="Arial" w:cs="Arial" w:eastAsia="Arial" w:hAnsi="Arial"/>
                <w:sz w:val="17"/>
                <w:szCs w:val="17"/>
                <w:color w:val="auto"/>
                <w:w w:val="98"/>
              </w:rPr>
              <w:t>Other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164,684</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$ 18.234</w:t>
            </w:r>
          </w:p>
        </w:tc>
        <w:tc>
          <w:tcPr>
            <w:tcW w:w="4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$ 261.25</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3,002,848.06</w:t>
            </w: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4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36"/>
              <w:spacing w:after="0"/>
              <w:rPr>
                <w:sz w:val="20"/>
                <w:szCs w:val="20"/>
                <w:color w:val="auto"/>
              </w:rPr>
            </w:pPr>
            <w:r>
              <w:rPr>
                <w:rFonts w:ascii="Arial" w:cs="Arial" w:eastAsia="Arial" w:hAnsi="Arial"/>
                <w:sz w:val="17"/>
                <w:szCs w:val="17"/>
                <w:color w:val="auto"/>
                <w:w w:val="98"/>
              </w:rPr>
              <w:t>Other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145,560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$ 61.20</w:t>
            </w:r>
          </w:p>
        </w:tc>
        <w:tc>
          <w:tcPr>
            <w:tcW w:w="4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$ 775.02</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8,908,272.00</w:t>
            </w: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4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36"/>
              <w:spacing w:after="0"/>
              <w:rPr>
                <w:sz w:val="20"/>
                <w:szCs w:val="20"/>
                <w:color w:val="auto"/>
              </w:rPr>
            </w:pPr>
            <w:r>
              <w:rPr>
                <w:rFonts w:ascii="Arial" w:cs="Arial" w:eastAsia="Arial" w:hAnsi="Arial"/>
                <w:sz w:val="17"/>
                <w:szCs w:val="17"/>
                <w:color w:val="auto"/>
                <w:w w:val="98"/>
              </w:rPr>
              <w:t>Other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361,011</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$ 191.13</w:t>
            </w:r>
          </w:p>
        </w:tc>
        <w:tc>
          <w:tcPr>
            <w:tcW w:w="4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$ 6,003.00</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99"/>
              </w:rPr>
              <w:t>69,000,032.43</w:t>
            </w: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w w:val="99"/>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3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$ 7,909.27</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90,911,172.73</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$ 7,909.27</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5" w:lineRule="exact"/>
        <w:rPr>
          <w:sz w:val="20"/>
          <w:szCs w:val="20"/>
          <w:color w:val="auto"/>
        </w:rPr>
      </w:pPr>
    </w:p>
    <w:p>
      <w:pPr>
        <w:ind w:left="220" w:right="160" w:hanging="1"/>
        <w:spacing w:after="0" w:line="242" w:lineRule="auto"/>
        <w:tabs>
          <w:tab w:leader="none" w:pos="477"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661,377 shares of common stock issuable upon exercise of outstanding 2025 Purchase Warrants, which were originally issued under the Registrant's registration statement on Form S-3 (File No. 333-270459), initially declared effective on May 10, 2023 (the "Prior Registration Statement"). Calculated pursuant to Rule 457(g) under the Securities Act of 1933, as amended (the "Securities Act"), the proposed maximum offering price per unit and maximum aggregate offering price are based on the per share exercise price of the 2025 Purchase Warrants and are presented for informational purposes only. Pursuant to Rule 416 under the Securities Act, this registration statement also covers an indeterminate number of additional shares of common stock that may become issuable upon exercise of the 2025 Purchase Warrants to prevent dilution resulting from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61595</wp:posOffset>
            </wp:positionV>
            <wp:extent cx="714565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6">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5" w:lineRule="exact"/>
        <w:rPr>
          <w:sz w:val="20"/>
          <w:szCs w:val="20"/>
          <w:color w:val="auto"/>
        </w:rPr>
      </w:pPr>
    </w:p>
    <w:p>
      <w:pPr>
        <w:ind w:left="220" w:right="120" w:hanging="1"/>
        <w:spacing w:after="0" w:line="243" w:lineRule="auto"/>
        <w:tabs>
          <w:tab w:leader="none" w:pos="477"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164,684 shares of common stock issuable upon exercise of outstanding Series C Warrants, which were originally issued under the Registrant's Prior Registration Statement. Calculated pursuant to Rule 457(g) under the Securities Act, the proposed maximum offering price per unit and maximum aggregate offering price are based on the per share exercise price of the Series C Warrants and are presented for informational purposes only. Pursuant to Rule 416 under the Securities Act, this registration statement also covers an indeterminate number of additional shares of common stock that may become issuable upon exercise of the Series C Warrants to prevent dilution resulting from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714565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7">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1360"/>
          </w:cols>
          <w:pgMar w:left="300" w:top="142" w:right="239" w:bottom="0" w:gutter="0" w:footer="0" w:header="0"/>
        </w:sectPr>
      </w:pPr>
    </w:p>
    <w:p>
      <w:pPr>
        <w:spacing w:after="0" w:line="5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 Represents 145,560 shares of common stock issuable upon exercise of outstanding 2024 Purchase Warrants, which were originally issued</w:t>
      </w:r>
    </w:p>
    <w:p>
      <w:pPr>
        <w:sectPr>
          <w:pgSz w:w="11900" w:h="16838" w:orient="portrait"/>
          <w:cols w:equalWidth="0" w:num="1">
            <w:col w:w="11360"/>
          </w:cols>
          <w:pgMar w:left="300" w:top="142" w:right="239" w:bottom="0" w:gutter="0" w:footer="0" w:header="0"/>
          <w:type w:val="continuous"/>
        </w:sectPr>
      </w:pPr>
    </w:p>
    <w:bookmarkStart w:id="45" w:name="page46"/>
    <w:bookmarkEnd w:id="45"/>
    <w:p>
      <w:pPr>
        <w:ind w:left="220" w:right="60"/>
        <w:spacing w:after="0" w:line="245" w:lineRule="auto"/>
        <w:rPr>
          <w:sz w:val="20"/>
          <w:szCs w:val="20"/>
          <w:color w:val="auto"/>
        </w:rPr>
      </w:pPr>
      <w:r>
        <w:rPr>
          <w:rFonts w:ascii="Arial" w:cs="Arial" w:eastAsia="Arial" w:hAnsi="Arial"/>
          <w:sz w:val="17"/>
          <w:szCs w:val="17"/>
          <w:color w:val="auto"/>
        </w:rPr>
        <w:t>under the Registrant's Prior Registration Statement. Calculated pursuant to Rule 457(g) under the Securities Act, the proposed maximum offering price per unit and maximum aggregate offering price are based on the per share exercise price of the 2024 Purchase Warrants and are presented for informational purposes only. Pursuant to Rule 416 under the Securities Act, this registration statement also covers an indeterminate number of additional shares of common stock that may become issuable upon exercise of the 2024 Purchase Warrants to prevent dilution resulting from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714565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8">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5" w:lineRule="exact"/>
        <w:rPr>
          <w:sz w:val="20"/>
          <w:szCs w:val="20"/>
          <w:color w:val="auto"/>
        </w:rPr>
      </w:pPr>
    </w:p>
    <w:p>
      <w:pPr>
        <w:ind w:left="220" w:right="60" w:hanging="1"/>
        <w:spacing w:after="0" w:line="243" w:lineRule="auto"/>
        <w:tabs>
          <w:tab w:leader="none" w:pos="477"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361,011 shares of common stock issuable upon exercise of outstanding 2023 Purchase Warrants, which were originally issued under the Registrant's Prior Registration Statement. Calculated pursuant to Rule 457(g) under the Securities Act, the proposed maximum offering price per unit and maximum aggregate offering price are based on the per share exercise price of the 2023 Purchase Warrants and are presented for informational purposes only. Pursuant to Rule 416 under the Securities Act, this registration statement also covers an indeterminate number of additional shares of common stock that may become issuable upon exercise of the 2023 Purchase Warrants to prevent dilution resulting from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714565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9">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60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 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restart"/>
            <w:shd w:val="clear" w:color="auto" w:fill="9ADAF6"/>
          </w:tcPr>
          <w:p>
            <w:pPr>
              <w:ind w:left="80"/>
              <w:spacing w:after="0"/>
              <w:rPr>
                <w:sz w:val="20"/>
                <w:szCs w:val="20"/>
                <w:color w:val="auto"/>
              </w:rPr>
            </w:pPr>
            <w:r>
              <w:rPr>
                <w:rFonts w:ascii="Arial" w:cs="Arial" w:eastAsia="Arial" w:hAnsi="Arial"/>
                <w:sz w:val="17"/>
                <w:szCs w:val="17"/>
                <w:b w:val="1"/>
                <w:bCs w:val="1"/>
                <w:color w:val="auto"/>
              </w:rPr>
              <w:t>Registrant or</w:t>
            </w:r>
          </w:p>
        </w:tc>
        <w:tc>
          <w:tcPr>
            <w:tcW w:w="40" w:type="dxa"/>
            <w:vAlign w:val="bottom"/>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ind w:left="180"/>
              <w:spacing w:after="0" w:line="193" w:lineRule="exact"/>
              <w:rPr>
                <w:sz w:val="20"/>
                <w:szCs w:val="20"/>
                <w:color w:val="auto"/>
              </w:rPr>
            </w:pPr>
            <w:r>
              <w:rPr>
                <w:rFonts w:ascii="Arial" w:cs="Arial" w:eastAsia="Arial" w:hAnsi="Arial"/>
                <w:sz w:val="17"/>
                <w:szCs w:val="17"/>
                <w:b w:val="1"/>
                <w:bCs w:val="1"/>
                <w:color w:val="auto"/>
              </w:rPr>
              <w:t>Filer Name</w:t>
            </w:r>
          </w:p>
        </w:tc>
        <w:tc>
          <w:tcPr>
            <w:tcW w:w="40" w:type="dxa"/>
            <w:vAlign w:val="bottom"/>
          </w:tcPr>
          <w:p>
            <w:pPr>
              <w:spacing w:after="0"/>
              <w:rPr>
                <w:sz w:val="16"/>
                <w:szCs w:val="16"/>
                <w:color w:val="auto"/>
              </w:rPr>
            </w:pPr>
          </w:p>
        </w:tc>
        <w:tc>
          <w:tcPr>
            <w:tcW w:w="5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7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Source</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7"/>
          </w:tcPr>
          <w:p>
            <w:pPr>
              <w:ind w:left="68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4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gridSpan w:val="3"/>
          </w:tcPr>
          <w:p>
            <w:pPr>
              <w:jc w:val="right"/>
              <w:ind w:right="214"/>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0" w:type="dxa"/>
            <w:vAlign w:val="bottom"/>
            <w:tcBorders>
              <w:left w:val="single" w:sz="8" w:color="auto"/>
            </w:tcBorders>
          </w:tcPr>
          <w:p>
            <w:pPr>
              <w:spacing w:after="0"/>
              <w:rPr>
                <w:sz w:val="23"/>
                <w:szCs w:val="23"/>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23"/>
                <w:szCs w:val="23"/>
                <w:color w:val="auto"/>
              </w:rPr>
            </w:pPr>
          </w:p>
        </w:tc>
        <w:tc>
          <w:tcPr>
            <w:tcW w:w="4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shd w:val="clear" w:color="auto" w:fill="E7E7E2"/>
          </w:tcPr>
          <w:p>
            <w:pPr>
              <w:ind w:left="20"/>
              <w:spacing w:after="0"/>
              <w:rPr>
                <w:sz w:val="20"/>
                <w:szCs w:val="20"/>
                <w:color w:val="auto"/>
              </w:rPr>
            </w:pPr>
            <w:r>
              <w:rPr>
                <w:rFonts w:ascii="Arial" w:cs="Arial" w:eastAsia="Arial" w:hAnsi="Arial"/>
                <w:sz w:val="17"/>
                <w:szCs w:val="17"/>
                <w:color w:val="auto"/>
              </w:rPr>
              <w:t>Bionano</w:t>
            </w:r>
          </w:p>
        </w:tc>
        <w:tc>
          <w:tcPr>
            <w:tcW w:w="40" w:type="dxa"/>
            <w:vAlign w:val="bottom"/>
          </w:tcPr>
          <w:p>
            <w:pPr>
              <w:spacing w:after="0"/>
              <w:rPr>
                <w:sz w:val="23"/>
                <w:szCs w:val="23"/>
                <w:color w:val="auto"/>
              </w:rPr>
            </w:pPr>
          </w:p>
        </w:tc>
        <w:tc>
          <w:tcPr>
            <w:tcW w:w="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23"/>
                <w:szCs w:val="23"/>
                <w:color w:val="auto"/>
              </w:rPr>
            </w:pPr>
          </w:p>
        </w:tc>
        <w:tc>
          <w:tcPr>
            <w:tcW w:w="9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94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Unallocated</w:t>
            </w:r>
          </w:p>
        </w:tc>
        <w:tc>
          <w:tcPr>
            <w:tcW w:w="20" w:type="dxa"/>
            <w:vAlign w:val="bottom"/>
          </w:tcPr>
          <w:p>
            <w:pPr>
              <w:spacing w:after="0"/>
              <w:rPr>
                <w:sz w:val="23"/>
                <w:szCs w:val="23"/>
                <w:color w:val="auto"/>
              </w:rPr>
            </w:pPr>
          </w:p>
        </w:tc>
        <w:tc>
          <w:tcPr>
            <w:tcW w:w="94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Unallocated</w:t>
            </w: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78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Claims</w:t>
            </w:r>
          </w:p>
        </w:tc>
        <w:tc>
          <w:tcPr>
            <w:tcW w:w="20" w:type="dxa"/>
            <w:vAlign w:val="bottom"/>
          </w:tcPr>
          <w:p>
            <w:pPr>
              <w:spacing w:after="0"/>
              <w:rPr>
                <w:sz w:val="16"/>
                <w:szCs w:val="16"/>
                <w:color w:val="auto"/>
              </w:rPr>
            </w:pPr>
          </w:p>
        </w:tc>
        <w:tc>
          <w:tcPr>
            <w:tcW w:w="420" w:type="dxa"/>
            <w:vAlign w:val="bottom"/>
            <w:shd w:val="clear" w:color="auto" w:fill="E7E7E2"/>
          </w:tcPr>
          <w:p>
            <w:pPr>
              <w:jc w:val="right"/>
              <w:ind w:right="74"/>
              <w:spacing w:after="0" w:line="193"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122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Genomics, Inc.</w:t>
            </w:r>
          </w:p>
        </w:tc>
        <w:tc>
          <w:tcPr>
            <w:tcW w:w="40" w:type="dxa"/>
            <w:vAlign w:val="bottom"/>
          </w:tcPr>
          <w:p>
            <w:pPr>
              <w:spacing w:after="0"/>
              <w:rPr>
                <w:sz w:val="16"/>
                <w:szCs w:val="16"/>
                <w:color w:val="auto"/>
              </w:rPr>
            </w:pPr>
          </w:p>
        </w:tc>
        <w:tc>
          <w:tcPr>
            <w:tcW w:w="540" w:type="dxa"/>
            <w:vAlign w:val="bottom"/>
            <w:shd w:val="clear" w:color="auto" w:fill="E7E7E2"/>
          </w:tcPr>
          <w:p>
            <w:pPr>
              <w:jc w:val="center"/>
              <w:spacing w:after="0" w:line="193" w:lineRule="exact"/>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93" w:lineRule="exact"/>
              <w:rPr>
                <w:sz w:val="20"/>
                <w:szCs w:val="20"/>
                <w:color w:val="auto"/>
              </w:rPr>
            </w:pPr>
            <w:r>
              <w:rPr>
                <w:rFonts w:ascii="Arial" w:cs="Arial" w:eastAsia="Arial" w:hAnsi="Arial"/>
                <w:sz w:val="17"/>
                <w:szCs w:val="17"/>
                <w:color w:val="auto"/>
              </w:rPr>
              <w:t>270459</w:t>
            </w:r>
          </w:p>
        </w:tc>
        <w:tc>
          <w:tcPr>
            <w:tcW w:w="20" w:type="dxa"/>
            <w:vAlign w:val="bottom"/>
          </w:tcPr>
          <w:p>
            <w:pPr>
              <w:spacing w:after="0"/>
              <w:rPr>
                <w:sz w:val="16"/>
                <w:szCs w:val="16"/>
                <w:color w:val="auto"/>
              </w:rPr>
            </w:pPr>
          </w:p>
        </w:tc>
        <w:tc>
          <w:tcPr>
            <w:tcW w:w="900" w:type="dxa"/>
            <w:vAlign w:val="bottom"/>
            <w:shd w:val="clear" w:color="auto" w:fill="E7E7E2"/>
          </w:tcPr>
          <w:p>
            <w:pPr>
              <w:jc w:val="center"/>
              <w:spacing w:after="0" w:line="193" w:lineRule="exact"/>
              <w:rPr>
                <w:sz w:val="20"/>
                <w:szCs w:val="20"/>
                <w:color w:val="auto"/>
              </w:rPr>
            </w:pPr>
            <w:r>
              <w:rPr>
                <w:rFonts w:ascii="Arial" w:cs="Arial" w:eastAsia="Arial" w:hAnsi="Arial"/>
                <w:sz w:val="17"/>
                <w:szCs w:val="17"/>
                <w:color w:val="auto"/>
              </w:rPr>
              <w:t>03/10/2023</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jc w:val="right"/>
              <w:spacing w:after="0" w:line="193" w:lineRule="exact"/>
              <w:rPr>
                <w:sz w:val="20"/>
                <w:szCs w:val="20"/>
                <w:color w:val="auto"/>
              </w:rPr>
            </w:pPr>
            <w:r>
              <w:rPr>
                <w:rFonts w:ascii="Arial" w:cs="Arial" w:eastAsia="Arial" w:hAnsi="Arial"/>
                <w:sz w:val="17"/>
                <w:szCs w:val="17"/>
                <w:color w:val="auto"/>
                <w:w w:val="99"/>
              </w:rPr>
              <w:t>7,909.27</w:t>
            </w:r>
          </w:p>
        </w:tc>
        <w:tc>
          <w:tcPr>
            <w:tcW w:w="20" w:type="dxa"/>
            <w:vAlign w:val="bottom"/>
          </w:tcPr>
          <w:p>
            <w:pPr>
              <w:spacing w:after="0"/>
              <w:rPr>
                <w:sz w:val="16"/>
                <w:szCs w:val="16"/>
                <w:color w:val="auto"/>
              </w:rPr>
            </w:pPr>
          </w:p>
        </w:tc>
        <w:tc>
          <w:tcPr>
            <w:tcW w:w="94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jc w:val="right"/>
              <w:spacing w:after="0" w:line="193" w:lineRule="exact"/>
              <w:rPr>
                <w:sz w:val="20"/>
                <w:szCs w:val="20"/>
                <w:color w:val="auto"/>
              </w:rPr>
            </w:pPr>
            <w:r>
              <w:rPr>
                <w:rFonts w:ascii="Arial" w:cs="Arial" w:eastAsia="Arial" w:hAnsi="Arial"/>
                <w:sz w:val="17"/>
                <w:szCs w:val="17"/>
                <w:color w:val="auto"/>
                <w:w w:val="99"/>
              </w:rPr>
              <w:t>90,911,169.42</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0" w:type="dxa"/>
            <w:vAlign w:val="bottom"/>
            <w:tcBorders>
              <w:left w:val="single" w:sz="8" w:color="auto"/>
            </w:tcBorders>
          </w:tcPr>
          <w:p>
            <w:pPr>
              <w:spacing w:after="0"/>
              <w:rPr>
                <w:sz w:val="13"/>
                <w:szCs w:val="13"/>
                <w:color w:val="auto"/>
              </w:rPr>
            </w:pPr>
          </w:p>
        </w:tc>
        <w:tc>
          <w:tcPr>
            <w:tcW w:w="8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shd w:val="clear" w:color="auto" w:fill="E7E7E2"/>
          </w:tcPr>
          <w:p>
            <w:pPr>
              <w:spacing w:after="0" w:line="150" w:lineRule="exact"/>
              <w:rPr>
                <w:sz w:val="20"/>
                <w:szCs w:val="20"/>
                <w:color w:val="auto"/>
              </w:rPr>
            </w:pPr>
            <w:r>
              <w:rPr>
                <w:rFonts w:ascii="Arial" w:cs="Arial" w:eastAsia="Arial" w:hAnsi="Arial"/>
                <w:sz w:val="17"/>
                <w:szCs w:val="17"/>
                <w:color w:val="auto"/>
              </w:rPr>
              <w:t>Shelf</w:t>
            </w:r>
          </w:p>
        </w:tc>
        <w:tc>
          <w:tcPr>
            <w:tcW w:w="20" w:type="dxa"/>
            <w:vAlign w:val="bottom"/>
          </w:tcPr>
          <w:p>
            <w:pPr>
              <w:spacing w:after="0"/>
              <w:rPr>
                <w:sz w:val="13"/>
                <w:szCs w:val="13"/>
                <w:color w:val="auto"/>
              </w:rPr>
            </w:pPr>
          </w:p>
        </w:tc>
        <w:tc>
          <w:tcPr>
            <w:tcW w:w="940" w:type="dxa"/>
            <w:vAlign w:val="bottom"/>
            <w:shd w:val="clear" w:color="auto" w:fill="E7E7E2"/>
          </w:tcPr>
          <w:p>
            <w:pPr>
              <w:ind w:left="20"/>
              <w:spacing w:after="0" w:line="150" w:lineRule="exact"/>
              <w:rPr>
                <w:sz w:val="20"/>
                <w:szCs w:val="20"/>
                <w:color w:val="auto"/>
              </w:rPr>
            </w:pPr>
            <w:r>
              <w:rPr>
                <w:rFonts w:ascii="Arial" w:cs="Arial" w:eastAsia="Arial" w:hAnsi="Arial"/>
                <w:sz w:val="17"/>
                <w:szCs w:val="17"/>
                <w:color w:val="auto"/>
              </w:rPr>
              <w:t>Shelf</w:t>
            </w:r>
          </w:p>
        </w:tc>
        <w:tc>
          <w:tcPr>
            <w:tcW w:w="20" w:type="dxa"/>
            <w:vAlign w:val="bottom"/>
          </w:tcPr>
          <w:p>
            <w:pPr>
              <w:spacing w:after="0"/>
              <w:rPr>
                <w:sz w:val="13"/>
                <w:szCs w:val="13"/>
                <w:color w:val="auto"/>
              </w:rPr>
            </w:pPr>
          </w:p>
        </w:tc>
        <w:tc>
          <w:tcPr>
            <w:tcW w:w="9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Bionano</w:t>
            </w:r>
          </w:p>
        </w:tc>
        <w:tc>
          <w:tcPr>
            <w:tcW w:w="40" w:type="dxa"/>
            <w:vAlign w:val="bottom"/>
          </w:tcPr>
          <w:p>
            <w:pPr>
              <w:spacing w:after="0"/>
              <w:rPr>
                <w:sz w:val="15"/>
                <w:szCs w:val="15"/>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vMerge w:val="continue"/>
          </w:tcPr>
          <w:p>
            <w:pPr>
              <w:spacing w:after="0"/>
              <w:rPr>
                <w:sz w:val="15"/>
                <w:szCs w:val="15"/>
                <w:color w:val="auto"/>
              </w:rPr>
            </w:pPr>
          </w:p>
        </w:tc>
        <w:tc>
          <w:tcPr>
            <w:tcW w:w="720" w:type="dxa"/>
            <w:vAlign w:val="bottom"/>
            <w:shd w:val="clear" w:color="auto" w:fill="E7E7E2"/>
          </w:tcPr>
          <w:p>
            <w:pPr>
              <w:jc w:val="center"/>
              <w:spacing w:after="0" w:line="182" w:lineRule="exact"/>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03/10/2023</w:t>
            </w: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80" w:type="dxa"/>
            <w:vAlign w:val="bottom"/>
            <w:shd w:val="clear" w:color="auto" w:fill="E7E7E2"/>
          </w:tcPr>
          <w:p>
            <w:pPr>
              <w:jc w:val="right"/>
              <w:spacing w:after="0" w:line="182" w:lineRule="exact"/>
              <w:rPr>
                <w:sz w:val="20"/>
                <w:szCs w:val="20"/>
                <w:color w:val="auto"/>
              </w:rPr>
            </w:pPr>
            <w:r>
              <w:rPr>
                <w:rFonts w:ascii="Arial" w:cs="Arial" w:eastAsia="Arial" w:hAnsi="Arial"/>
                <w:sz w:val="17"/>
                <w:szCs w:val="17"/>
                <w:color w:val="auto"/>
              </w:rPr>
              <w:t>$</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4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Genomics, Inc.</w:t>
            </w:r>
          </w:p>
        </w:tc>
        <w:tc>
          <w:tcPr>
            <w:tcW w:w="40" w:type="dxa"/>
            <w:vAlign w:val="bottom"/>
          </w:tcPr>
          <w:p>
            <w:pPr>
              <w:spacing w:after="0"/>
              <w:rPr>
                <w:sz w:val="11"/>
                <w:szCs w:val="11"/>
                <w:color w:val="auto"/>
              </w:rPr>
            </w:pPr>
          </w:p>
        </w:tc>
        <w:tc>
          <w:tcPr>
            <w:tcW w:w="5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270459</w:t>
            </w: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10,018.41</w:t>
            </w: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 457(p) Statement of Withdrawal, Termination, or Completion:</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5" w:lineRule="exact"/>
        <w:rPr>
          <w:sz w:val="20"/>
          <w:szCs w:val="20"/>
          <w:color w:val="auto"/>
        </w:rPr>
      </w:pPr>
    </w:p>
    <w:p>
      <w:pPr>
        <w:ind w:left="220" w:right="60" w:hanging="1"/>
        <w:spacing w:after="0"/>
        <w:tabs>
          <w:tab w:leader="none" w:pos="477" w:val="left"/>
        </w:tabs>
        <w:numPr>
          <w:ilvl w:val="0"/>
          <w:numId w:val="38"/>
        </w:numPr>
        <w:rPr>
          <w:rFonts w:ascii="Arial" w:cs="Arial" w:eastAsia="Arial" w:hAnsi="Arial"/>
          <w:sz w:val="17"/>
          <w:szCs w:val="17"/>
          <w:color w:val="auto"/>
        </w:rPr>
      </w:pPr>
      <w:r>
        <w:rPr>
          <w:rFonts w:ascii="Arial" w:cs="Arial" w:eastAsia="Arial" w:hAnsi="Arial"/>
          <w:sz w:val="17"/>
          <w:szCs w:val="17"/>
          <w:color w:val="auto"/>
        </w:rPr>
        <w:t>Pursuant to Rule 457(p) under the Securities Act, the Registrant is offsetting the total registration fee of $7,909.27 due under this registration statement against the filing fee previously paid in connection with unsold securities registered under the Prior Registration Statement, which was initially filed on March 10, 2023. The unsold securities associated with the fee offset claimed consist of an aggregate of 1,332,628 shares of common stock issuable upon exercise of the 2025 Purchase Warrants, the Series C Warrants, the 2024 Purchase Warrants and the 2023 Purchase Warrants, which remain outstanding and have not been exercised. Such unsold securities have an unsold aggregate offering amount of $90,911,169.42, and the Registrant paid a filing fee of $10,018.41 in connection with the unsold securities associated with the fee offset claimed, calculated at the fee rate in effect at the time of the filing of the Prior Registration Statement. Of that amount, $7,909.27 is being used to offset the registration fee due under this registration statement, and the remaining $2,109.14 is not being applied hereto. As a result, no filing fee is due with this registration statement. The offering of the securities associated with the fee offset claimed herein has been terminated or completed, and such securities remain unsold.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4565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0">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68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20"/>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2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ind w:left="60"/>
              <w:spacing w:after="0" w:line="193"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40"/>
              <w:spacing w:after="0" w:line="193"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right w:val="single" w:sz="8" w:color="auto"/>
            </w:tcBorders>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lvl w:ilvl="1">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0"/>
      <w:numFmt w:val="bullet"/>
      <w:start w:val="1"/>
    </w:lvl>
  </w:abstractNum>
  <w:abstractNum w:abstractNumId="19">
    <w:nsid w:val="2901D82"/>
    <w:multiLevelType w:val="hybridMultilevel"/>
    <w:lvl w:ilvl="0">
      <w:lvlJc w:val="left"/>
      <w:lvlText w:val="1"/>
      <w:numFmt w:val="bullet"/>
      <w:start w:val="1"/>
    </w:lvl>
  </w:abstractNum>
  <w:abstractNum w:abstractNumId="20">
    <w:nsid w:val="3A95F874"/>
    <w:multiLevelType w:val="hybridMultilevel"/>
    <w:lvl w:ilvl="0">
      <w:lvlJc w:val="left"/>
      <w:lvlText w:val="%1."/>
      <w:numFmt w:val="decimal"/>
      <w:start w:val="10"/>
    </w:lvl>
  </w:abstractNum>
  <w:abstractNum w:abstractNumId="21">
    <w:nsid w:val="8138641"/>
    <w:multiLevelType w:val="hybridMultilevel"/>
    <w:lvl w:ilvl="0">
      <w:lvlJc w:val="left"/>
      <w:lvlText w:val="%1."/>
      <w:numFmt w:val="decimal"/>
      <w:start w:val="10"/>
    </w:lvl>
  </w:abstractNum>
  <w:abstractNum w:abstractNumId="22">
    <w:nsid w:val="1E7FF521"/>
    <w:multiLevelType w:val="hybridMultilevel"/>
    <w:lvl w:ilvl="0">
      <w:lvlJc w:val="left"/>
      <w:lvlText w:val="%1."/>
      <w:numFmt w:val="decimal"/>
      <w:start w:val="10"/>
    </w:lvl>
  </w:abstractNum>
  <w:abstractNum w:abstractNumId="23">
    <w:nsid w:val="7C3DBD3D"/>
    <w:multiLevelType w:val="hybridMultilevel"/>
    <w:lvl w:ilvl="0">
      <w:lvlJc w:val="left"/>
      <w:lvlText w:val="%1."/>
      <w:numFmt w:val="decimal"/>
      <w:start w:val="10"/>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3006C83E"/>
    <w:multiLevelType w:val="hybridMultilevel"/>
    <w:lvl w:ilvl="0">
      <w:lvlJc w:val="left"/>
      <w:lvlText w:val="(%1)"/>
      <w:numFmt w:val="decimal"/>
      <w:start w:val="2"/>
    </w:lvl>
    <w:lvl w:ilvl="1">
      <w:lvlJc w:val="left"/>
      <w:lvlText w:val="(%2)"/>
      <w:numFmt w:val="lowerRoman"/>
      <w:start w:val="1"/>
    </w:lvl>
  </w:abstractNum>
  <w:abstractNum w:abstractNumId="29">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0">
    <w:nsid w:val="419AC24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1">
    <w:nsid w:val="5577F8E1"/>
    <w:multiLevelType w:val="hybridMultilevel"/>
    <w:lvl w:ilvl="0">
      <w:lvlJc w:val="left"/>
      <w:lvlText w:val="(%1)"/>
      <w:numFmt w:val="lowerRoman"/>
      <w:start w:val="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2"/>
    </w:lvl>
  </w:abstractNum>
  <w:abstractNum w:abstractNumId="36">
    <w:nsid w:val="7724C67E"/>
    <w:multiLevelType w:val="hybridMultilevel"/>
    <w:lvl w:ilvl="0">
      <w:lvlJc w:val="left"/>
      <w:lvlText w:val="(%1)"/>
      <w:numFmt w:val="decimal"/>
      <w:start w:val="4"/>
    </w:lvl>
  </w:abstractNum>
  <w:abstractNum w:abstractNumId="37">
    <w:nsid w:val="5C482A9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jpe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5" Type="http://schemas.openxmlformats.org/officeDocument/2006/relationships/image" Target="media/image55.png"/><Relationship Id="rId78" Type="http://schemas.openxmlformats.org/officeDocument/2006/relationships/image" Target="media/image56.png"/><Relationship Id="rId81" Type="http://schemas.openxmlformats.org/officeDocument/2006/relationships/image" Target="media/image57.png"/><Relationship Id="rId84" Type="http://schemas.openxmlformats.org/officeDocument/2006/relationships/image" Target="media/image58.png"/><Relationship Id="rId87" Type="http://schemas.openxmlformats.org/officeDocument/2006/relationships/image" Target="media/image59.png"/><Relationship Id="rId90" Type="http://schemas.openxmlformats.org/officeDocument/2006/relationships/image" Target="media/image60.png"/><Relationship Id="rId93" Type="http://schemas.openxmlformats.org/officeDocument/2006/relationships/image" Target="media/image61.png"/><Relationship Id="rId95" Type="http://schemas.openxmlformats.org/officeDocument/2006/relationships/image" Target="media/image62.png"/><Relationship Id="rId97" Type="http://schemas.openxmlformats.org/officeDocument/2006/relationships/image" Target="media/image63.png"/><Relationship Id="rId100" Type="http://schemas.openxmlformats.org/officeDocument/2006/relationships/image" Target="media/image64.png"/><Relationship Id="rId102" Type="http://schemas.openxmlformats.org/officeDocument/2006/relationships/image" Target="media/image65.png"/><Relationship Id="rId104" Type="http://schemas.openxmlformats.org/officeDocument/2006/relationships/image" Target="media/image66.png"/><Relationship Id="rId107" Type="http://schemas.openxmlformats.org/officeDocument/2006/relationships/image" Target="media/image67.png"/><Relationship Id="rId110" Type="http://schemas.openxmlformats.org/officeDocument/2006/relationships/image" Target="media/image68.png"/><Relationship Id="rId113" Type="http://schemas.openxmlformats.org/officeDocument/2006/relationships/image" Target="media/image69.png"/><Relationship Id="rId116" Type="http://schemas.openxmlformats.org/officeDocument/2006/relationships/image" Target="media/image70.png"/><Relationship Id="rId118" Type="http://schemas.openxmlformats.org/officeDocument/2006/relationships/image" Target="media/image71.png"/><Relationship Id="rId121" Type="http://schemas.openxmlformats.org/officeDocument/2006/relationships/image" Target="media/image72.png"/><Relationship Id="rId124" Type="http://schemas.openxmlformats.org/officeDocument/2006/relationships/image" Target="media/image73.png"/><Relationship Id="rId127" Type="http://schemas.openxmlformats.org/officeDocument/2006/relationships/image" Target="media/image74.png"/><Relationship Id="rId130" Type="http://schemas.openxmlformats.org/officeDocument/2006/relationships/image" Target="media/image75.png"/><Relationship Id="rId132" Type="http://schemas.openxmlformats.org/officeDocument/2006/relationships/image" Target="media/image76.png"/><Relationship Id="rId134" Type="http://schemas.openxmlformats.org/officeDocument/2006/relationships/image" Target="media/image77.png"/><Relationship Id="rId137" Type="http://schemas.openxmlformats.org/officeDocument/2006/relationships/image" Target="media/image78.png"/><Relationship Id="rId140" Type="http://schemas.openxmlformats.org/officeDocument/2006/relationships/image" Target="media/image79.png"/><Relationship Id="rId143" Type="http://schemas.openxmlformats.org/officeDocument/2006/relationships/image" Target="media/image80.png"/><Relationship Id="rId145" Type="http://schemas.openxmlformats.org/officeDocument/2006/relationships/image" Target="media/image81.png"/><Relationship Id="rId146" Type="http://schemas.openxmlformats.org/officeDocument/2006/relationships/image" Target="media/image82.png"/><Relationship Id="rId147" Type="http://schemas.openxmlformats.org/officeDocument/2006/relationships/image" Target="media/image83.png"/><Relationship Id="rId149" Type="http://schemas.openxmlformats.org/officeDocument/2006/relationships/image" Target="media/image84.png"/><Relationship Id="rId152" Type="http://schemas.openxmlformats.org/officeDocument/2006/relationships/image" Target="media/image85.png"/><Relationship Id="rId154" Type="http://schemas.openxmlformats.org/officeDocument/2006/relationships/image" Target="media/image86.png"/><Relationship Id="rId155" Type="http://schemas.openxmlformats.org/officeDocument/2006/relationships/image" Target="media/image87.png"/><Relationship Id="rId156" Type="http://schemas.openxmlformats.org/officeDocument/2006/relationships/image" Target="media/image88.png"/><Relationship Id="rId158" Type="http://schemas.openxmlformats.org/officeDocument/2006/relationships/image" Target="media/image89.png"/><Relationship Id="rId161" Type="http://schemas.openxmlformats.org/officeDocument/2006/relationships/image" Target="media/image90.png"/><Relationship Id="rId164" Type="http://schemas.openxmlformats.org/officeDocument/2006/relationships/image" Target="media/image91.png"/><Relationship Id="rId165" Type="http://schemas.openxmlformats.org/officeDocument/2006/relationships/image" Target="media/image92.png"/><Relationship Id="rId166" Type="http://schemas.openxmlformats.org/officeDocument/2006/relationships/image" Target="media/image93.png"/><Relationship Id="rId167" Type="http://schemas.openxmlformats.org/officeDocument/2006/relationships/image" Target="media/image94.png"/><Relationship Id="rId168" Type="http://schemas.openxmlformats.org/officeDocument/2006/relationships/image" Target="media/image95.png"/><Relationship Id="rId169" Type="http://schemas.openxmlformats.org/officeDocument/2006/relationships/image" Target="media/image96.png"/><Relationship Id="rId170" Type="http://schemas.openxmlformats.org/officeDocument/2006/relationships/image" Target="media/image97.png"/><Relationship Id="rId171" Type="http://schemas.openxmlformats.org/officeDocument/2006/relationships/image" Target="media/image98.png"/><Relationship Id="rId172" Type="http://schemas.openxmlformats.org/officeDocument/2006/relationships/image" Target="media/image99.png"/><Relationship Id="rId173" Type="http://schemas.openxmlformats.org/officeDocument/2006/relationships/image" Target="media/image100.png"/><Relationship Id="rId174" Type="http://schemas.openxmlformats.org/officeDocument/2006/relationships/image" Target="media/image101.png"/><Relationship Id="rId175" Type="http://schemas.openxmlformats.org/officeDocument/2006/relationships/image" Target="media/image102.png"/><Relationship Id="rId176" Type="http://schemas.openxmlformats.org/officeDocument/2006/relationships/image" Target="media/image103.jpeg"/><Relationship Id="rId177" Type="http://schemas.openxmlformats.org/officeDocument/2006/relationships/image" Target="media/image104.jpeg"/><Relationship Id="rId178" Type="http://schemas.openxmlformats.org/officeDocument/2006/relationships/image" Target="media/image105.png"/><Relationship Id="rId179" Type="http://schemas.openxmlformats.org/officeDocument/2006/relationships/image" Target="media/image106.jpeg"/><Relationship Id="rId180" Type="http://schemas.openxmlformats.org/officeDocument/2006/relationships/image" Target="media/image107.jpeg"/><Relationship Id="rId181" Type="http://schemas.openxmlformats.org/officeDocument/2006/relationships/image" Target="media/image108.png"/><Relationship Id="rId182" Type="http://schemas.openxmlformats.org/officeDocument/2006/relationships/image" Target="media/image109.png"/><Relationship Id="rId183" Type="http://schemas.openxmlformats.org/officeDocument/2006/relationships/image" Target="media/image110.png"/><Relationship Id="rId184" Type="http://schemas.openxmlformats.org/officeDocument/2006/relationships/image" Target="media/image111.png"/><Relationship Id="rId185" Type="http://schemas.openxmlformats.org/officeDocument/2006/relationships/image" Target="media/image112.png"/><Relationship Id="rId186" Type="http://schemas.openxmlformats.org/officeDocument/2006/relationships/image" Target="media/image113.png"/><Relationship Id="rId187" Type="http://schemas.openxmlformats.org/officeDocument/2006/relationships/image" Target="media/image114.png"/><Relationship Id="rId188" Type="http://schemas.openxmlformats.org/officeDocument/2006/relationships/image" Target="media/image115.png"/><Relationship Id="rId189" Type="http://schemas.openxmlformats.org/officeDocument/2006/relationships/image" Target="media/image116.png"/><Relationship Id="rId190" Type="http://schemas.openxmlformats.org/officeDocument/2006/relationships/image" Target="media/image117.png"/><Relationship Id="rId46" Type="http://schemas.openxmlformats.org/officeDocument/2006/relationships/hyperlink" Target="https://www.sec.gov/ix?doc=/Archives/edgar/data/0001411690/000141169026000007/bngo-20251231.htm" TargetMode="External"/><Relationship Id="rId47" Type="http://schemas.openxmlformats.org/officeDocument/2006/relationships/hyperlink" Target="https://www.sec.gov/ix?doc=/Archives/edgar/data/0001411690/000141169026000028/bngo-20260331.htm" TargetMode="External"/><Relationship Id="rId48" Type="http://schemas.openxmlformats.org/officeDocument/2006/relationships/hyperlink" Target="https://www.sec.gov/ix?doc=/Archives/edgar/data/0001411690/000141169026000044/bngo-20260630.htm" TargetMode="External"/><Relationship Id="rId49" Type="http://schemas.openxmlformats.org/officeDocument/2006/relationships/hyperlink" Target="https://www.sec.gov/ix?doc=/Archives/edgar/data/0001411690/000141169026000019/bngo-20260505.htm" TargetMode="External"/><Relationship Id="rId50" Type="http://schemas.openxmlformats.org/officeDocument/2006/relationships/hyperlink" Target="https://www.sec.gov/ix?doc=/Archives/edgar/data/0001411690/000141169026000030/bngo-20260514.htm" TargetMode="External"/><Relationship Id="rId51" Type="http://schemas.openxmlformats.org/officeDocument/2006/relationships/hyperlink" Target="https://www.sec.gov/ix?doc=/Archives/edgar/data/0001411690/000141169026000033/bngo-20260528.htm" TargetMode="External"/><Relationship Id="rId52" Type="http://schemas.openxmlformats.org/officeDocument/2006/relationships/hyperlink" Target="https://www.sec.gov/ix?doc=/Archives/edgar/data/0001411690/000141169026000036/bngo-20260602.htm" TargetMode="External"/><Relationship Id="rId53" Type="http://schemas.openxmlformats.org/officeDocument/2006/relationships/hyperlink" Target="https://www.sec.gov/ix?doc=/Archives/edgar/data/0001411690/000141169026000040/bngo-20260624.htm" TargetMode="External"/><Relationship Id="rId54" Type="http://schemas.openxmlformats.org/officeDocument/2006/relationships/hyperlink" Target="https://www.sec.gov/ix?doc=/Archives/edgar/data/0001411690/000141169026000014/bngo-20260401.htm" TargetMode="External"/><Relationship Id="rId55" Type="http://schemas.openxmlformats.org/officeDocument/2006/relationships/hyperlink" Target="https://www.sec.gov/Archives/edgar/data/1411690/000119312518251675/d610675d8a12ba.htm" TargetMode="External"/><Relationship Id="rId56" Type="http://schemas.openxmlformats.org/officeDocument/2006/relationships/hyperlink" Target="https://www.sec.gov/Archives/edgar/data/1411690/000141169024000013/bngo-ex45x20231231.htm" TargetMode="External"/><Relationship Id="rId57" Type="http://schemas.openxmlformats.org/officeDocument/2006/relationships/hyperlink" Target="https://www.sec.gov/ix?doc=/Archives/edgar/data/1411690/000141169024000013/bngo-20231231.htm" TargetMode="External"/><Relationship Id="rId74" Type="http://schemas.openxmlformats.org/officeDocument/2006/relationships/hyperlink" Target="https://www.sec.gov/Archives/edgar/data/1411690/000141169023000082/bngo-2023x09x30xexx31.htm" TargetMode="External"/><Relationship Id="rId76" Type="http://schemas.openxmlformats.org/officeDocument/2006/relationships/hyperlink" Target="https://www.sec.gov/Archives/edgar/data/1411690/000141169025000008/bionano-certificateofamend.htm" TargetMode="External"/><Relationship Id="rId77" Type="http://schemas.openxmlformats.org/officeDocument/2006/relationships/hyperlink" Target="https://www.sec.gov/Archives/edgar/data/1411690/000119312518257763/d607608dex32.htm" TargetMode="External"/><Relationship Id="rId79" Type="http://schemas.openxmlformats.org/officeDocument/2006/relationships/hyperlink" Target="https://www.sec.gov/Archives/edgar/data/1411690/000114036123018454/brhc20051350_ex3-2.htm" TargetMode="External"/><Relationship Id="rId80" Type="http://schemas.openxmlformats.org/officeDocument/2006/relationships/hyperlink" Target="https://www.sec.gov/Archives/edgar/data/1411690/000141169024000013/bngo-ex41x20231231.htm" TargetMode="External"/><Relationship Id="rId82" Type="http://schemas.openxmlformats.org/officeDocument/2006/relationships/hyperlink" Target="https://www.sec.gov/Archives/edgar/data/1411690/000119312518217313/d782664dex48.htm" TargetMode="External"/><Relationship Id="rId83" Type="http://schemas.openxmlformats.org/officeDocument/2006/relationships/hyperlink" Target="https://www.sec.gov/Archives/edgar/data/1411690/000114036123047688/ef20012228_ex4-2.htm" TargetMode="External"/><Relationship Id="rId85" Type="http://schemas.openxmlformats.org/officeDocument/2006/relationships/hyperlink" Target="https://www.sec.gov/Archives/edgar/data/1411690/000114036124018181/ef20026117_ex4-1.htm" TargetMode="External"/><Relationship Id="rId86" Type="http://schemas.openxmlformats.org/officeDocument/2006/relationships/hyperlink" Target="https://www.sec.gov/Archives/edgar/data/1411690/000114036124018181/ef20026117_ex4-2.htm" TargetMode="External"/><Relationship Id="rId88" Type="http://schemas.openxmlformats.org/officeDocument/2006/relationships/hyperlink" Target="https://www.sec.gov/Archives/edgar/data/1411690/000114036124032559/ny20032138x2_ex4-2.htm" TargetMode="External"/><Relationship Id="rId89" Type="http://schemas.openxmlformats.org/officeDocument/2006/relationships/hyperlink" Target="https://www.sec.gov/Archives/edgar/data/1411690/000114036124032559/ny20032138x1_ex4-3.htm" TargetMode="External"/><Relationship Id="rId91" Type="http://schemas.openxmlformats.org/officeDocument/2006/relationships/hyperlink" Target="https://www.sec.gov/Archives/edgar/data/1411690/000114036124044715/ny20037830x2_ex4-1.htm" TargetMode="External"/><Relationship Id="rId92" Type="http://schemas.openxmlformats.org/officeDocument/2006/relationships/hyperlink" Target="https://www.sec.gov/Archives/edgar/data/1411690/000114036125000296/ny20041129x2_ex4-1.htm" TargetMode="External"/><Relationship Id="rId94" Type="http://schemas.openxmlformats.org/officeDocument/2006/relationships/hyperlink" Target="https://www.sec.gov/Archives/edgar/data/1411690/000114036125035286/ny20052513x7_ex4-2.htm" TargetMode="External"/><Relationship Id="rId96" Type="http://schemas.openxmlformats.org/officeDocument/2006/relationships/hyperlink" Target="https://www.sec.gov/Archives/edgar/data/1411690/000114036124018181/ef20026117_ex10-1.htm" TargetMode="External"/><Relationship Id="rId98" Type="http://schemas.openxmlformats.org/officeDocument/2006/relationships/hyperlink" Target="https://www.sec.gov/Archives/edgar/data/1411690/000114036124032559/ny20032138x2_ex10-1.htm" TargetMode="External"/><Relationship Id="rId99" Type="http://schemas.openxmlformats.org/officeDocument/2006/relationships/hyperlink" Target="https://www.sec.gov/Archives/edgar/data/1411690/000114036124044715/ny20037830x2_ex10-1.htm" TargetMode="External"/><Relationship Id="rId101" Type="http://schemas.openxmlformats.org/officeDocument/2006/relationships/hyperlink" Target="https://www.sec.gov/Archives/edgar/data/1411690/000114036125000296/ny20041129x2_ex10-1.htm" TargetMode="External"/><Relationship Id="rId103" Type="http://schemas.openxmlformats.org/officeDocument/2006/relationships/hyperlink" Target="https://www.sec.gov/Archives/edgar/data/1411690/000114036125035286/ny20052513x7_ex10-1.htm" TargetMode="External"/><Relationship Id="rId105" Type="http://schemas.openxmlformats.org/officeDocument/2006/relationships/hyperlink" Target="https://www.sec.gov/Archives/edgar/data/1411690/000114036120018366/nt10014149x1_ex99-1.htm" TargetMode="External"/><Relationship Id="rId106" Type="http://schemas.openxmlformats.org/officeDocument/2006/relationships/hyperlink" Target="https://www.sec.gov/Archives/edgar/data/1411690/000141169023000010/exh102a-bionanoxstandardfo.htm" TargetMode="External"/><Relationship Id="rId108" Type="http://schemas.openxmlformats.org/officeDocument/2006/relationships/hyperlink" Target="https://www.sec.gov/Archives/edgar/data/1411690/000141169023000010/exh102b-bionanoxdirectorfo.htm" TargetMode="External"/><Relationship Id="rId109" Type="http://schemas.openxmlformats.org/officeDocument/2006/relationships/hyperlink" Target="https://www.sec.gov/Archives/edgar/data/1411690/000141169023000010/exh102c-bionanoxdoublextri.htm" TargetMode="External"/><Relationship Id="rId111" Type="http://schemas.openxmlformats.org/officeDocument/2006/relationships/hyperlink" Target="https://www.sec.gov/Archives/edgar/data/1411690/000119312518219135/d782664dex105.htm" TargetMode="External"/><Relationship Id="rId112" Type="http://schemas.openxmlformats.org/officeDocument/2006/relationships/hyperlink" Target="https://www.sec.gov/Archives/edgar/data/1411690/000141169021000024/bngo-20210630xexx101.htm" TargetMode="External"/><Relationship Id="rId114" Type="http://schemas.openxmlformats.org/officeDocument/2006/relationships/hyperlink" Target="https://www.sec.gov/Archives/edgar/data/1411690/000119312518260602/d616702dex995.htm" TargetMode="External"/><Relationship Id="rId115" Type="http://schemas.openxmlformats.org/officeDocument/2006/relationships/hyperlink" Target="https://www.sec.gov/Archives/edgar/data/1411690/000114036125011708/ef20046763_ex99-3.htm" TargetMode="External"/><Relationship Id="rId117" Type="http://schemas.openxmlformats.org/officeDocument/2006/relationships/hyperlink" Target="https://www.sec.gov/Archives/edgar/data/1411690/000114036120018910/brhc10014594_ex10-2.htm" TargetMode="External"/><Relationship Id="rId119" Type="http://schemas.openxmlformats.org/officeDocument/2006/relationships/hyperlink" Target="https://www.sec.gov/Archives/edgar/data/1411690/000119312518219135/d782664dex107.htm" TargetMode="External"/><Relationship Id="rId120" Type="http://schemas.openxmlformats.org/officeDocument/2006/relationships/hyperlink" Target="https://www.sec.gov/Archives/edgar/data/1411690/000119312518207855/d782664dex1010.htm" TargetMode="External"/><Relationship Id="rId122" Type="http://schemas.openxmlformats.org/officeDocument/2006/relationships/hyperlink" Target="https://www.sec.gov/Archives/edgar/data/1411690/000141169026000044/bngo-ex10_2.htm" TargetMode="External"/><Relationship Id="rId123" Type="http://schemas.openxmlformats.org/officeDocument/2006/relationships/hyperlink" Target="https://www.sec.gov/Archives/edgar/data/1411690/000119312518207855/d782664dex1014.htm" TargetMode="External"/><Relationship Id="rId125" Type="http://schemas.openxmlformats.org/officeDocument/2006/relationships/hyperlink" Target="https://www.sec.gov/Archives/edgar/data/1411690/000141169026000044/bngo-ex10_1.htm" TargetMode="External"/><Relationship Id="rId126" Type="http://schemas.openxmlformats.org/officeDocument/2006/relationships/hyperlink" Target="https://www.sec.gov/Archives/edgar/data/1411690/000119312518207855/d782664dex1020.htm" TargetMode="External"/><Relationship Id="rId128" Type="http://schemas.openxmlformats.org/officeDocument/2006/relationships/hyperlink" Target="https://www.sec.gov/Archives/edgar/data/1411690/000119312518207855/d782664dex1021.htm" TargetMode="External"/><Relationship Id="rId129" Type="http://schemas.openxmlformats.org/officeDocument/2006/relationships/hyperlink" Target="https://www.sec.gov/Archives/edgar/data/1411690/000119312518207855/d782664dex1022.htm" TargetMode="External"/><Relationship Id="rId131" Type="http://schemas.openxmlformats.org/officeDocument/2006/relationships/hyperlink" Target="https://www.sec.gov/Archives/edgar/data/0001411690/000141169021000004/ex1022-thirdamendmenttoirv.htm" TargetMode="External"/><Relationship Id="rId133" Type="http://schemas.openxmlformats.org/officeDocument/2006/relationships/hyperlink" Target="https://www.sec.gov/Archives/edgar/data/0001411690/000141169021000004/ex1023-fourthamendmenttoir.htm" TargetMode="External"/><Relationship Id="rId135" Type="http://schemas.openxmlformats.org/officeDocument/2006/relationships/hyperlink" Target="https://www.sec.gov/Archives/edgar/data/1411690/000141169022000007/bngo-ex1039_bionanoxfiftha.htm" TargetMode="External"/><Relationship Id="rId136" Type="http://schemas.openxmlformats.org/officeDocument/2006/relationships/hyperlink" Target="https://www.sec.gov/Archives/edgar/data/1411690/000141169025000083/ex-101bionanogenomicsinc.htm" TargetMode="External"/><Relationship Id="rId138" Type="http://schemas.openxmlformats.org/officeDocument/2006/relationships/hyperlink" Target="https://www.sec.gov/Archives/edgar/data/1411690/000141169022000007/bionano-nancyridgeleasee.htm" TargetMode="External"/><Relationship Id="rId139" Type="http://schemas.openxmlformats.org/officeDocument/2006/relationships/hyperlink" Target="https://www.sec.gov/Archives/edgar/data/1411690/000141169022000007/bngo-1038_bionanoxcommerci.htm" TargetMode="External"/><Relationship Id="rId141" Type="http://schemas.openxmlformats.org/officeDocument/2006/relationships/hyperlink" Target="https://www.sec.gov/Archives/edgar/data/1411690/000114036125005427/ef20043949_ex10-1.htm" TargetMode="External"/><Relationship Id="rId142" Type="http://schemas.openxmlformats.org/officeDocument/2006/relationships/hyperlink" Target="https://www.sec.gov/Archives/edgar/data/1411690/000119312518207855/d782664dex1024.htm" TargetMode="External"/><Relationship Id="rId144" Type="http://schemas.openxmlformats.org/officeDocument/2006/relationships/hyperlink" Target="https://www.sec.gov/Archives/edgar/data/1411690/000141169026000007/bngo-ex10_17.htm" TargetMode="External"/><Relationship Id="rId148" Type="http://schemas.openxmlformats.org/officeDocument/2006/relationships/hyperlink" Target="https://www.sec.gov/Archives/edgar/data/1411690/000141169026000007/bngo-ex10_18.htm" TargetMode="External"/><Relationship Id="rId150" Type="http://schemas.openxmlformats.org/officeDocument/2006/relationships/hyperlink" Target="https://www.sec.gov/Archives/edgar/data/1411690/000114036123047688/ef20012228_ex10-1.htm" TargetMode="External"/><Relationship Id="rId151" Type="http://schemas.openxmlformats.org/officeDocument/2006/relationships/hyperlink" Target="https://www.sec.gov/Archives/edgar/data/1411690/000114036124009930/ef20022651_ex10-1.htm" TargetMode="External"/><Relationship Id="rId153" Type="http://schemas.openxmlformats.org/officeDocument/2006/relationships/hyperlink" Target="https://www.sec.gov/Archives/edgar/data/1411690/000141169025000037/bionano-gkamaexecutivesepa.htm" TargetMode="External"/><Relationship Id="rId157" Type="http://schemas.openxmlformats.org/officeDocument/2006/relationships/hyperlink" Target="https://www.sec.gov/Archives/edgar/data/1411690/000114036124027553/ef20030067_ex10-1.htm" TargetMode="External"/><Relationship Id="rId159" Type="http://schemas.openxmlformats.org/officeDocument/2006/relationships/hyperlink" Target="https://www.sec.gov/Archives/edgar/data/1411690/000114036124027553/ef20030067_ex10-2.htm" TargetMode="External"/><Relationship Id="rId160" Type="http://schemas.openxmlformats.org/officeDocument/2006/relationships/hyperlink" Target="https://www.sec.gov/Archives/edgar/data/1411690/000114036124027553/ef20030067_ex10-4.htm" TargetMode="External"/><Relationship Id="rId162" Type="http://schemas.openxmlformats.org/officeDocument/2006/relationships/hyperlink" Target="https://www.sec.gov/Archives/edgar/data/1411690/000114036124027553/ef20030067_ex10-5.htm" TargetMode="External"/><Relationship Id="rId163" Type="http://schemas.openxmlformats.org/officeDocument/2006/relationships/hyperlink" Target="https://www.sec.gov/Archives/edgar/data/1411690/000141169026000007/bngo-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2026-10-27T16:26:49Z</dcterms:created>
  <dcterms:modified xsi:type="dcterms:W3CDTF">2026-10-27T16:26:49Z</dcterms:modified>
</cp:coreProperties>
</file>