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TWOMEY CHRISTOPHER J</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8"/>
              </w:rPr>
              <w:t>C/O BIONANO GENOMICS, INC.</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9540 TOWNE CENTRE DRIVE, SUITE 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9,149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05/13/2036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9,149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9,149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will vest in equal monthly installments over the 12 months following the date of grant, provided that the shares will, in any case, be fully vested on the date of the Company's next annual stockholder meeting, subject to the option holder's Continuous Service (as defined in the Company's 2018 equity incentive plan) through each such vesting date and will vest in full upon a Change of Control (as defined in the Company's 2018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Jonathan V. Dixon,</w:t>
            </w:r>
          </w:p>
        </w:tc>
        <w:tc>
          <w:tcPr>
            <w:tcW w:w="5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8935"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2026-05-14T17:16:19Z</dcterms:created>
  <dcterms:modified xsi:type="dcterms:W3CDTF">2026-05-14T17:16:19Z</dcterms:modified>
</cp:coreProperties>
</file>