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OLDAKOWSKI MARK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BIONANO GENOMICS,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9540 TOWNE CENTRE DRIVE,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Bionano Genomics, Inc.</w:t>
              </w:r>
            </w:hyperlink>
            <w:r>
              <w:rPr/>
              <w:t xml:space="preserve"> [ </w:t>
            </w:r>
            <w:r>
              <w:rPr>
                <w:rFonts w:ascii="Times;serif" w:hAnsi="Times;serif"/>
                <w:color w:val="0000FF"/>
                <w:sz w:val="24"/>
                <w:shd w:fill="FFFFFF" w:val="clear"/>
              </w:rPr>
              <w:t>BNGO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08/02/2036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15,000</w:t>
            </w:r>
            <w:r>
              <w:rPr>
                <w:rFonts w:ascii="Times;serif" w:hAnsi="Times;serif"/>
                <w:color w:val="008000"/>
                <w:position w:val="7"/>
                <w:sz w:val="16"/>
                <w:sz w:val="20"/>
                <w:shd w:fill="FFFFFF" w:val="clear"/>
              </w:rPr>
              <w:t>(2)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subject to the option vest 50% of the total on each of the first and second anniversaries of the vesting commencement date, in each case subject to the Reporting Person's Continuous Service (as defined in the Company's 2018 Plan) through each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initial Form 3 filed on August 5, 2026 was erroneously filed. This Form 4 replaces the Form 3 filed.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V. Dixon,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45566" TargetMode="External"/><Relationship Id="rId5" Type="http://schemas.openxmlformats.org/officeDocument/2006/relationships/hyperlink" Target="http://www.sec.gov/cgi-bin/browse-edgar?action=getcompany&amp;CIK=00014116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646</Words>
  <Characters>3477</Characters>
  <CharactersWithSpaces>4050</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