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Adamchak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BIONANO GENOMICS,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9540 TOWNE CENTRE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Bionano Genomics, Inc.</w:t>
              </w:r>
            </w:hyperlink>
            <w:r>
              <w:rPr/>
              <w:t xml:space="preserve"> [ </w:t>
            </w:r>
            <w:r>
              <w:rPr>
                <w:rFonts w:ascii="Times;serif" w:hAnsi="Times;serif"/>
                <w:color w:val="0000FF"/>
                <w:sz w:val="24"/>
                <w:shd w:fill="FFFFFF" w:val="clear"/>
              </w:rPr>
              <w:t>BNGO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5,000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50% of the total on each of the first and second anniversaries of the vesting commencement date, in each case subject to the Reporting Person's Continuous Service (as defined in the Company's 2018 Plan)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initial Form 3 filed on August 5, 2026 was erroneously filed. This Form 4 replaces the Form 3 filed.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V. Dixon,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6536" TargetMode="External"/><Relationship Id="rId5" Type="http://schemas.openxmlformats.org/officeDocument/2006/relationships/hyperlink" Target="http://www.sec.gov/cgi-bin/browse-edgar?action=getcompany&amp;CIK=0001411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3477</Characters>
  <CharactersWithSpaces>4050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