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Dixon Jonathan 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BIONANO GENOMICS,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9540 TOWNE CENTRE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Bionano Genomics, Inc.</w:t>
              </w:r>
            </w:hyperlink>
            <w:r>
              <w:rPr/>
              <w:t xml:space="preserve"> [ </w:t>
            </w:r>
            <w:r>
              <w:rPr>
                <w:rFonts w:ascii="Times;serif" w:hAnsi="Times;serif"/>
                <w:color w:val="0000FF"/>
                <w:sz w:val="24"/>
                <w:shd w:fill="FFFFFF" w:val="clear"/>
              </w:rPr>
              <w:t>BNGO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50% of the total on each of the first and second anniversaries of the vesting commencement date, in each case subject to the Reporting Person's Continuous Service (as defined in the Company's 2018 Plan)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V. Dixon,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67837" TargetMode="External"/><Relationship Id="rId3" Type="http://schemas.openxmlformats.org/officeDocument/2006/relationships/hyperlink" Target="http://www.sec.gov/cgi-bin/browse-edgar?action=getcompany&amp;CIK=000141169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451</Words>
  <Characters>2476</Characters>
  <CharactersWithSpaces>2875</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