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OLDAKOWSKI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BIONANO GENOMICS,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9540 TOWNE CENTRE DRIVE,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08/03/2026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Bionano Genomics, Inc.</w:t>
              </w:r>
            </w:hyperlink>
            <w:r>
              <w:rPr/>
              <w:t xml:space="preserve"> [ </w:t>
            </w:r>
            <w:r>
              <w:rPr>
                <w:rFonts w:ascii="Times;serif" w:hAnsi="Times;serif"/>
                <w:color w:val="0000FF"/>
                <w:sz w:val="24"/>
                <w:shd w:fill="FFFFFF" w:val="clear"/>
              </w:rPr>
              <w:t>BNGO</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82"/>
        <w:gridCol w:w="1223"/>
        <w:gridCol w:w="1130"/>
        <w:gridCol w:w="1351"/>
        <w:gridCol w:w="938"/>
        <w:gridCol w:w="1267"/>
        <w:gridCol w:w="1230"/>
        <w:gridCol w:w="138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5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08/02/2036</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the option vest 50% of the total on each of the first and second anniversaries of the vesting commencement date, in each case subject to the Reporting Person's Continuous Service (as defined in the Company's 2018 Plan) through each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V. Dixon,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45566" TargetMode="External"/><Relationship Id="rId3" Type="http://schemas.openxmlformats.org/officeDocument/2006/relationships/hyperlink" Target="http://www.sec.gov/cgi-bin/browse-edgar?action=getcompany&amp;CIK=000141169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451</Words>
  <Characters>2482</Characters>
  <CharactersWithSpaces>2881</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