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Bionano Genomics,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CVI Investments,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1,307,135.00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1,307,135.00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1,307,135.00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Heights Capital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1,307,135.00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1,307,135.00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1,307,135.00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Bionano Genomics,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9540 Towne Centre Drive, Suite 100,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the entities listed below, who are collectively referred to herein as "Reporting Persons," with respect to the shares of Common Stock of Bionano Genomics, Inc. (the "Company"), $0.0001 par value per share (the "Shares"). (i) CVI Investments, Inc. (ii) Heights Capital Management, Inc.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4(a) is set forth in Row 9 of the cover page for each Reporting Person hereto and is incorporated herein by reference for each such Reporting Person. The number of Shares reported as beneficially owned consists of Shares issuable upon the exercise of warrants to purchase Shares (the "Warrants"). A portion of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Exchange Act, would exceed 4.99%, and the remainder of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Exchange Act, would exceed 9.99%. The Company's Quarterly Report on Form 10-Q, filed on August 10, 2026, indicates there were 11,777,300 Shares outstanding as of June 30, 2026.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The information required by this Item 4(c)(i) is set forth in Row 5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The information required by this Item 4(c)(iii) is set forth in Row 7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 xml:space="preserve">CVI Investments, Inc. </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Sarah Travis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Sarah Travis, Assistant General Counsel and Assistant Secretary of Heights Capital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 xml:space="preserve">Heights Capital Management, Inc. </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Sarah Travis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Sarah Travis, Assistant General Counsel and Assistant Secretary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Heights Capital Management, Inc. serves as authorized agent of CVI Investments, Inc. pursuant to a Limited Power of Attorney, a copy of which was previously filed.</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INDEX EXHIBIT DESCRIPTION 24 Limited Power of Attorney* 99 Joint Filing Agreement* * Previously filed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1534</Words>
  <Characters>7994</Characters>
  <CharactersWithSpaces>9507</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