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9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May 30, 2023</w:t>
      </w:r>
    </w:p>
    <w:p>
      <w:pPr>
        <w:spacing w:after="0" w:line="200"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Bionano Genomics, Inc.</w:t>
      </w:r>
    </w:p>
    <w:p>
      <w:pPr>
        <w:spacing w:after="0" w:line="25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40"/>
          </w:cols>
          <w:pgMar w:left="320" w:top="535" w:right="339" w:bottom="1440" w:gutter="0" w:footer="0" w:header="0"/>
        </w:sectPr>
      </w:pPr>
    </w:p>
    <w:p>
      <w:pPr>
        <w:spacing w:after="0" w:line="221" w:lineRule="exact"/>
        <w:rPr>
          <w:sz w:val="24"/>
          <w:szCs w:val="24"/>
          <w:color w:val="auto"/>
        </w:rPr>
      </w:pPr>
    </w:p>
    <w:p>
      <w:pPr>
        <w:ind w:left="152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90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26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01"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001-38613</w:t>
      </w:r>
    </w:p>
    <w:p>
      <w:pPr>
        <w:spacing w:after="0" w:line="27" w:lineRule="exact"/>
        <w:rPr>
          <w:sz w:val="24"/>
          <w:szCs w:val="24"/>
          <w:color w:val="auto"/>
        </w:rPr>
      </w:pPr>
    </w:p>
    <w:p>
      <w:pPr>
        <w:jc w:val="center"/>
        <w:ind w:right="1880"/>
        <w:spacing w:after="0"/>
        <w:rPr>
          <w:sz w:val="20"/>
          <w:szCs w:val="20"/>
          <w:color w:val="auto"/>
        </w:rPr>
      </w:pPr>
      <w:r>
        <w:rPr>
          <w:rFonts w:ascii="Arial" w:cs="Arial" w:eastAsia="Arial" w:hAnsi="Arial"/>
          <w:sz w:val="16"/>
          <w:szCs w:val="16"/>
          <w:color w:val="auto"/>
        </w:rPr>
        <w:t>(Commission</w:t>
      </w:r>
    </w:p>
    <w:p>
      <w:pPr>
        <w:spacing w:after="0" w:line="32" w:lineRule="exact"/>
        <w:rPr>
          <w:sz w:val="24"/>
          <w:szCs w:val="24"/>
          <w:color w:val="auto"/>
        </w:rPr>
      </w:pPr>
    </w:p>
    <w:p>
      <w:pPr>
        <w:jc w:val="center"/>
        <w:ind w:right="1880"/>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spacing w:after="0" w:line="201" w:lineRule="exact"/>
        <w:rPr>
          <w:sz w:val="24"/>
          <w:szCs w:val="24"/>
          <w:color w:val="auto"/>
        </w:rPr>
      </w:pPr>
    </w:p>
    <w:p>
      <w:pPr>
        <w:jc w:val="center"/>
        <w:ind w:right="1180"/>
        <w:spacing w:after="0"/>
        <w:rPr>
          <w:sz w:val="20"/>
          <w:szCs w:val="20"/>
          <w:color w:val="auto"/>
        </w:rPr>
      </w:pPr>
      <w:r>
        <w:rPr>
          <w:rFonts w:ascii="Arial" w:cs="Arial" w:eastAsia="Arial" w:hAnsi="Arial"/>
          <w:sz w:val="18"/>
          <w:szCs w:val="18"/>
          <w:b w:val="1"/>
          <w:bCs w:val="1"/>
          <w:color w:val="auto"/>
        </w:rPr>
        <w:t>26-1756290</w:t>
      </w:r>
    </w:p>
    <w:p>
      <w:pPr>
        <w:spacing w:after="0" w:line="27" w:lineRule="exact"/>
        <w:rPr>
          <w:sz w:val="24"/>
          <w:szCs w:val="24"/>
          <w:color w:val="auto"/>
        </w:rPr>
      </w:pPr>
    </w:p>
    <w:p>
      <w:pPr>
        <w:jc w:val="center"/>
        <w:ind w:right="118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18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440" w:space="720"/>
            <w:col w:w="2840" w:space="720"/>
            <w:col w:w="2520"/>
          </w:cols>
          <w:pgMar w:left="320" w:top="535" w:right="339" w:bottom="1440" w:gutter="0" w:footer="0" w:header="0"/>
          <w:type w:val="continuous"/>
        </w:sectPr>
      </w:pPr>
    </w:p>
    <w:p>
      <w:pPr>
        <w:spacing w:after="0" w:line="7" w:lineRule="exact"/>
        <w:rPr>
          <w:sz w:val="24"/>
          <w:szCs w:val="24"/>
          <w:color w:val="auto"/>
        </w:rPr>
      </w:pPr>
    </w:p>
    <w:p>
      <w:pPr>
        <w:jc w:val="center"/>
        <w:ind w:right="1820"/>
        <w:spacing w:after="0"/>
        <w:rPr>
          <w:sz w:val="20"/>
          <w:szCs w:val="20"/>
          <w:color w:val="auto"/>
        </w:rPr>
      </w:pPr>
      <w:r>
        <w:rPr>
          <w:rFonts w:ascii="Arial" w:cs="Arial" w:eastAsia="Arial" w:hAnsi="Arial"/>
          <w:sz w:val="17"/>
          <w:szCs w:val="17"/>
          <w:b w:val="1"/>
          <w:bCs w:val="1"/>
          <w:color w:val="auto"/>
        </w:rPr>
        <w:t>9540 Towne Centre Drive, Suite 100</w:t>
      </w:r>
    </w:p>
    <w:p>
      <w:pPr>
        <w:spacing w:after="0" w:line="39" w:lineRule="exact"/>
        <w:rPr>
          <w:sz w:val="24"/>
          <w:szCs w:val="24"/>
          <w:color w:val="auto"/>
        </w:rPr>
      </w:pPr>
    </w:p>
    <w:p>
      <w:pPr>
        <w:jc w:val="center"/>
        <w:ind w:right="1820"/>
        <w:spacing w:after="0"/>
        <w:rPr>
          <w:sz w:val="20"/>
          <w:szCs w:val="20"/>
          <w:color w:val="auto"/>
        </w:rPr>
      </w:pPr>
      <w:r>
        <w:rPr>
          <w:rFonts w:ascii="Arial" w:cs="Arial" w:eastAsia="Arial" w:hAnsi="Arial"/>
          <w:sz w:val="18"/>
          <w:szCs w:val="18"/>
          <w:b w:val="1"/>
          <w:bCs w:val="1"/>
          <w:color w:val="auto"/>
        </w:rPr>
        <w:t>San Diego, California</w:t>
      </w:r>
    </w:p>
    <w:p>
      <w:pPr>
        <w:spacing w:after="0" w:line="9" w:lineRule="exact"/>
        <w:rPr>
          <w:sz w:val="24"/>
          <w:szCs w:val="24"/>
          <w:color w:val="auto"/>
        </w:rPr>
      </w:pPr>
    </w:p>
    <w:p>
      <w:pPr>
        <w:jc w:val="center"/>
        <w:ind w:right="182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3" w:lineRule="exact"/>
        <w:rPr>
          <w:sz w:val="24"/>
          <w:szCs w:val="24"/>
          <w:color w:val="auto"/>
        </w:rPr>
      </w:pPr>
    </w:p>
    <w:p>
      <w:pPr>
        <w:jc w:val="center"/>
        <w:ind w:right="2340"/>
        <w:spacing w:after="0"/>
        <w:rPr>
          <w:sz w:val="20"/>
          <w:szCs w:val="20"/>
          <w:color w:val="auto"/>
        </w:rPr>
      </w:pPr>
      <w:r>
        <w:rPr>
          <w:rFonts w:ascii="Arial" w:cs="Arial" w:eastAsia="Arial" w:hAnsi="Arial"/>
          <w:sz w:val="18"/>
          <w:szCs w:val="18"/>
          <w:b w:val="1"/>
          <w:bCs w:val="1"/>
          <w:color w:val="auto"/>
        </w:rPr>
        <w:t>92121</w:t>
      </w:r>
    </w:p>
    <w:p>
      <w:pPr>
        <w:spacing w:after="0" w:line="27" w:lineRule="exact"/>
        <w:rPr>
          <w:sz w:val="24"/>
          <w:szCs w:val="24"/>
          <w:color w:val="auto"/>
        </w:rPr>
      </w:pPr>
    </w:p>
    <w:p>
      <w:pPr>
        <w:jc w:val="center"/>
        <w:ind w:right="234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380" w:space="720"/>
            <w:col w:w="3140"/>
          </w:cols>
          <w:pgMar w:left="320" w:top="535" w:right="339" w:bottom="1440" w:gutter="0" w:footer="0" w:header="0"/>
          <w:type w:val="continuous"/>
        </w:sectPr>
      </w:pP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(858) 888-7600</w:t>
      </w:r>
    </w:p>
    <w:p>
      <w:pPr>
        <w:spacing w:after="0" w:line="229"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obligations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9"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460" w:type="dxa"/>
            <w:vAlign w:val="bottom"/>
          </w:tcPr>
          <w:p>
            <w:pPr>
              <w:spacing w:after="0"/>
              <w:rPr>
                <w:sz w:val="20"/>
                <w:szCs w:val="20"/>
                <w:color w:val="auto"/>
              </w:rPr>
            </w:pPr>
            <w:r>
              <w:rPr>
                <w:rFonts w:ascii="Arial" w:cs="Arial" w:eastAsia="Arial" w:hAnsi="Arial"/>
                <w:sz w:val="18"/>
                <w:szCs w:val="18"/>
                <w:color w:val="auto"/>
                <w:w w:val="97"/>
              </w:rPr>
              <w:t>Securities registered pursuant to Section 12(b) of the Act:</w:t>
            </w:r>
          </w:p>
        </w:tc>
        <w:tc>
          <w:tcPr>
            <w:tcW w:w="2260" w:type="dxa"/>
            <w:vAlign w:val="bottom"/>
          </w:tcPr>
          <w:p>
            <w:pPr>
              <w:spacing w:after="0"/>
              <w:rPr>
                <w:sz w:val="20"/>
                <w:szCs w:val="20"/>
                <w:color w:val="auto"/>
              </w:rPr>
            </w:pPr>
          </w:p>
        </w:tc>
        <w:tc>
          <w:tcPr>
            <w:tcW w:w="3860" w:type="dxa"/>
            <w:vAlign w:val="bottom"/>
          </w:tcPr>
          <w:p>
            <w:pPr>
              <w:spacing w:after="0"/>
              <w:rPr>
                <w:sz w:val="20"/>
                <w:szCs w:val="20"/>
                <w:color w:val="auto"/>
              </w:rPr>
            </w:pPr>
          </w:p>
        </w:tc>
      </w:tr>
      <w:tr>
        <w:trPr>
          <w:trHeight w:val="418"/>
        </w:trPr>
        <w:tc>
          <w:tcPr>
            <w:tcW w:w="4460" w:type="dxa"/>
            <w:vAlign w:val="bottom"/>
          </w:tcPr>
          <w:p>
            <w:pPr>
              <w:jc w:val="center"/>
              <w:spacing w:after="0"/>
              <w:rPr>
                <w:sz w:val="20"/>
                <w:szCs w:val="20"/>
                <w:color w:val="auto"/>
              </w:rPr>
            </w:pPr>
            <w:r>
              <w:rPr>
                <w:rFonts w:ascii="Arial" w:cs="Arial" w:eastAsia="Arial" w:hAnsi="Arial"/>
                <w:sz w:val="18"/>
                <w:szCs w:val="18"/>
                <w:b w:val="1"/>
                <w:bCs w:val="1"/>
                <w:color w:val="auto"/>
                <w:w w:val="87"/>
              </w:rPr>
              <w:t>Title of each class</w:t>
            </w:r>
          </w:p>
        </w:tc>
        <w:tc>
          <w:tcPr>
            <w:tcW w:w="2260" w:type="dxa"/>
            <w:vAlign w:val="bottom"/>
          </w:tcPr>
          <w:p>
            <w:pPr>
              <w:jc w:val="center"/>
              <w:ind w:right="130"/>
              <w:spacing w:after="0"/>
              <w:rPr>
                <w:sz w:val="20"/>
                <w:szCs w:val="20"/>
                <w:color w:val="auto"/>
              </w:rPr>
            </w:pPr>
            <w:r>
              <w:rPr>
                <w:rFonts w:ascii="Arial" w:cs="Arial" w:eastAsia="Arial" w:hAnsi="Arial"/>
                <w:sz w:val="18"/>
                <w:szCs w:val="18"/>
                <w:b w:val="1"/>
                <w:bCs w:val="1"/>
                <w:color w:val="auto"/>
                <w:w w:val="91"/>
              </w:rPr>
              <w:t>Trading Symbol(s)</w:t>
            </w:r>
          </w:p>
        </w:tc>
        <w:tc>
          <w:tcPr>
            <w:tcW w:w="3860" w:type="dxa"/>
            <w:vAlign w:val="bottom"/>
          </w:tcPr>
          <w:p>
            <w:pPr>
              <w:jc w:val="center"/>
              <w:ind w:left="430"/>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16"/>
        </w:trPr>
        <w:tc>
          <w:tcPr>
            <w:tcW w:w="4460" w:type="dxa"/>
            <w:vAlign w:val="bottom"/>
          </w:tcPr>
          <w:p>
            <w:pPr>
              <w:jc w:val="center"/>
              <w:spacing w:after="0"/>
              <w:rPr>
                <w:sz w:val="20"/>
                <w:szCs w:val="20"/>
                <w:color w:val="auto"/>
              </w:rPr>
            </w:pPr>
            <w:r>
              <w:rPr>
                <w:rFonts w:ascii="Arial" w:cs="Arial" w:eastAsia="Arial" w:hAnsi="Arial"/>
                <w:sz w:val="18"/>
                <w:szCs w:val="18"/>
                <w:color w:val="auto"/>
                <w:w w:val="89"/>
              </w:rPr>
              <w:t>Common Stock, $0.0001 par value per share</w:t>
            </w:r>
          </w:p>
        </w:tc>
        <w:tc>
          <w:tcPr>
            <w:tcW w:w="2260" w:type="dxa"/>
            <w:vAlign w:val="bottom"/>
          </w:tcPr>
          <w:p>
            <w:pPr>
              <w:jc w:val="center"/>
              <w:ind w:right="130"/>
              <w:spacing w:after="0"/>
              <w:rPr>
                <w:sz w:val="20"/>
                <w:szCs w:val="20"/>
                <w:color w:val="auto"/>
              </w:rPr>
            </w:pPr>
            <w:r>
              <w:rPr>
                <w:rFonts w:ascii="Arial" w:cs="Arial" w:eastAsia="Arial" w:hAnsi="Arial"/>
                <w:sz w:val="18"/>
                <w:szCs w:val="18"/>
                <w:color w:val="auto"/>
                <w:w w:val="98"/>
              </w:rPr>
              <w:t>BNGO</w:t>
            </w:r>
          </w:p>
        </w:tc>
        <w:tc>
          <w:tcPr>
            <w:tcW w:w="3860" w:type="dxa"/>
            <w:vAlign w:val="bottom"/>
          </w:tcPr>
          <w:p>
            <w:pPr>
              <w:jc w:val="center"/>
              <w:ind w:left="430"/>
              <w:spacing w:after="0"/>
              <w:rPr>
                <w:sz w:val="20"/>
                <w:szCs w:val="20"/>
                <w:color w:val="auto"/>
              </w:rPr>
            </w:pPr>
            <w:r>
              <w:rPr>
                <w:rFonts w:ascii="Arial" w:cs="Arial" w:eastAsia="Arial" w:hAnsi="Arial"/>
                <w:sz w:val="18"/>
                <w:szCs w:val="18"/>
                <w:color w:val="auto"/>
                <w:w w:val="91"/>
              </w:rPr>
              <w:t>The Nasdaq Stock Market LLC</w:t>
            </w:r>
          </w:p>
        </w:tc>
      </w:tr>
      <w:tr>
        <w:trPr>
          <w:trHeight w:val="230"/>
        </w:trPr>
        <w:tc>
          <w:tcPr>
            <w:tcW w:w="4460" w:type="dxa"/>
            <w:vAlign w:val="bottom"/>
          </w:tcPr>
          <w:p>
            <w:pPr>
              <w:jc w:val="center"/>
              <w:spacing w:after="0"/>
              <w:rPr>
                <w:sz w:val="20"/>
                <w:szCs w:val="20"/>
                <w:color w:val="auto"/>
              </w:rPr>
            </w:pPr>
            <w:r>
              <w:rPr>
                <w:rFonts w:ascii="Arial" w:cs="Arial" w:eastAsia="Arial" w:hAnsi="Arial"/>
                <w:sz w:val="18"/>
                <w:szCs w:val="18"/>
                <w:color w:val="auto"/>
                <w:w w:val="89"/>
              </w:rPr>
              <w:t>Warrants to purchase Common Stock</w:t>
            </w:r>
          </w:p>
        </w:tc>
        <w:tc>
          <w:tcPr>
            <w:tcW w:w="2260" w:type="dxa"/>
            <w:vAlign w:val="bottom"/>
          </w:tcPr>
          <w:p>
            <w:pPr>
              <w:jc w:val="center"/>
              <w:ind w:right="130"/>
              <w:spacing w:after="0"/>
              <w:rPr>
                <w:sz w:val="20"/>
                <w:szCs w:val="20"/>
                <w:color w:val="auto"/>
              </w:rPr>
            </w:pPr>
            <w:r>
              <w:rPr>
                <w:rFonts w:ascii="Arial" w:cs="Arial" w:eastAsia="Arial" w:hAnsi="Arial"/>
                <w:sz w:val="18"/>
                <w:szCs w:val="18"/>
                <w:color w:val="auto"/>
                <w:w w:val="97"/>
              </w:rPr>
              <w:t>BNGOW</w:t>
            </w:r>
          </w:p>
        </w:tc>
        <w:tc>
          <w:tcPr>
            <w:tcW w:w="3860" w:type="dxa"/>
            <w:vAlign w:val="bottom"/>
          </w:tcPr>
          <w:p>
            <w:pPr>
              <w:jc w:val="center"/>
              <w:ind w:left="390"/>
              <w:spacing w:after="0"/>
              <w:rPr>
                <w:sz w:val="20"/>
                <w:szCs w:val="20"/>
                <w:color w:val="auto"/>
              </w:rPr>
            </w:pPr>
            <w:r>
              <w:rPr>
                <w:rFonts w:ascii="Arial" w:cs="Arial" w:eastAsia="Arial" w:hAnsi="Arial"/>
                <w:sz w:val="18"/>
                <w:szCs w:val="18"/>
                <w:color w:val="auto"/>
                <w:w w:val="91"/>
              </w:rPr>
              <w:t>The Nasdaq Stock Market LLC</w:t>
            </w:r>
          </w:p>
        </w:tc>
      </w:tr>
    </w:tbl>
    <w:p>
      <w:pPr>
        <w:spacing w:after="0" w:line="202"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6"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70" w:lineRule="exact"/>
        <w:rPr>
          <w:sz w:val="24"/>
          <w:szCs w:val="24"/>
          <w:color w:val="auto"/>
        </w:rPr>
      </w:pPr>
    </w:p>
    <w:p>
      <w:pPr>
        <w:ind w:right="160"/>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273685</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35"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3.01 Notice of Delisting or Failure to Satisfy a Continued Listing Rule or Standard; Transfer of Listing.</w:t>
      </w:r>
    </w:p>
    <w:p>
      <w:pPr>
        <w:spacing w:after="0" w:line="22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On May 30, 2023, Bionano Genomics, Inc. (the “Company”) received a letter (the “Notice”) from The Nasdaq Stock Market LLC (“Nasdaq”) advising the Company that for 30 consecutive trading days preceding the date of the Notice, the bid price of the Company’s common stock had closed below the $1.00 per share minimum required for continued listing on The Nasdaq Capital Market pursuant to Nasdaq Listing Rule 5550(a)(2) (the “Minimum Bid Price Requirement”).</w:t>
      </w:r>
    </w:p>
    <w:p>
      <w:pPr>
        <w:spacing w:after="0" w:line="187" w:lineRule="exact"/>
        <w:rPr>
          <w:sz w:val="20"/>
          <w:szCs w:val="20"/>
          <w:color w:val="auto"/>
        </w:rPr>
      </w:pPr>
    </w:p>
    <w:p>
      <w:pPr>
        <w:jc w:val="both"/>
        <w:ind w:right="160"/>
        <w:spacing w:after="0" w:line="277" w:lineRule="auto"/>
        <w:rPr>
          <w:sz w:val="20"/>
          <w:szCs w:val="20"/>
          <w:color w:val="auto"/>
        </w:rPr>
      </w:pPr>
      <w:r>
        <w:rPr>
          <w:rFonts w:ascii="Arial" w:cs="Arial" w:eastAsia="Arial" w:hAnsi="Arial"/>
          <w:sz w:val="18"/>
          <w:szCs w:val="18"/>
          <w:color w:val="auto"/>
        </w:rPr>
        <w:t>The Notice has no effect on the listing of the Company’s common stock at this time, and the Company’s common stock continues to trade on The Nasdaq Capital Market under the symbol “BNGO.”</w:t>
      </w:r>
    </w:p>
    <w:p>
      <w:pPr>
        <w:spacing w:after="0" w:line="170" w:lineRule="exact"/>
        <w:rPr>
          <w:sz w:val="20"/>
          <w:szCs w:val="20"/>
          <w:color w:val="auto"/>
        </w:rPr>
      </w:pPr>
    </w:p>
    <w:p>
      <w:pPr>
        <w:jc w:val="both"/>
        <w:ind w:right="140"/>
        <w:spacing w:after="0" w:line="311" w:lineRule="auto"/>
        <w:rPr>
          <w:sz w:val="20"/>
          <w:szCs w:val="20"/>
          <w:color w:val="auto"/>
        </w:rPr>
      </w:pPr>
      <w:r>
        <w:rPr>
          <w:rFonts w:ascii="Arial" w:cs="Arial" w:eastAsia="Arial" w:hAnsi="Arial"/>
          <w:sz w:val="16"/>
          <w:szCs w:val="16"/>
          <w:color w:val="auto"/>
        </w:rPr>
        <w:t>Under Nasdaq Listing Rule 5810(c)(3)(A), the Company has 180 calendar days following the date of the Notice to regain compliance with the Minimum Bid Price Requirement. If at any time during this 180 day period the closing bid price of the Company’s common stock is at least $1.00 for a minimum of 10 consecutive business days, the Company will regain compliance with the Minimum Bid Price Requirement and the matter will be closed.</w:t>
      </w:r>
    </w:p>
    <w:p>
      <w:pPr>
        <w:spacing w:after="0" w:line="14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If the Company does not regain compliance with the Minimum Bid Price Requirement within the initial 180 day compliance period, the Company may be eligible for an additional 180 calendar days to regain compliance if, on the last day of the initial compliance period, the Company meets the market value of publicly held shares requirement for continued listing as well as all other standards for initial listing of its common stock on The Nasdaq Capital Market (other than the Minimum Bid Price Requirement), and the Company notifies Nasdaq of its intention to cure the deficiency during the second compliance period. If the Company meets these requirements, Nasdaq will inform the Company that it has been granted an additional 180 calendar days to regain compliance. If the Company does not indicate its intent to cure the deficiency, or if it appears to Nasdaq that it is not possible for the Company to cure the deficiency, the Company will not be eligible for the second compliance period.</w:t>
      </w:r>
    </w:p>
    <w:p>
      <w:pPr>
        <w:spacing w:after="0" w:line="17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If the Company does not regain compliance with the Minimum Bid Price Requirement within the applicable compliance period, the Company’s common stock will be subject to delisting.</w:t>
      </w:r>
    </w:p>
    <w:p>
      <w:pPr>
        <w:spacing w:after="0" w:line="170"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Company intends to monitor the closing bid price of its common stock and may, if appropriate, consider implementing available options to regain compliance with the Minimum Bid Price Requirement.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 w:name="page3"/>
    <w:bookmarkEnd w:id="2"/>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Bionano Genomics, Inc.</w:t>
      </w:r>
    </w:p>
    <w:p>
      <w:pPr>
        <w:spacing w:after="0" w:line="229" w:lineRule="exact"/>
        <w:rPr>
          <w:sz w:val="20"/>
          <w:szCs w:val="20"/>
          <w:color w:val="auto"/>
        </w:rPr>
      </w:pPr>
    </w:p>
    <w:p>
      <w:pPr>
        <w:ind w:left="40"/>
        <w:spacing w:after="0"/>
        <w:tabs>
          <w:tab w:leader="none" w:pos="5640" w:val="left"/>
          <w:tab w:leader="none" w:pos="6080" w:val="left"/>
        </w:tabs>
        <w:rPr>
          <w:sz w:val="20"/>
          <w:szCs w:val="20"/>
          <w:color w:val="auto"/>
        </w:rPr>
      </w:pPr>
      <w:r>
        <w:rPr>
          <w:rFonts w:ascii="Arial" w:cs="Arial" w:eastAsia="Arial" w:hAnsi="Arial"/>
          <w:sz w:val="18"/>
          <w:szCs w:val="18"/>
          <w:color w:val="auto"/>
        </w:rPr>
        <w:t>Date: June 2,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R. Erik Holmlin,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216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52165" cy="17145"/>
                    </a:xfrm>
                    <a:prstGeom prst="rect">
                      <a:avLst/>
                    </a:prstGeom>
                    <a:noFill/>
                  </pic:spPr>
                </pic:pic>
              </a:graphicData>
            </a:graphic>
          </wp:anchor>
        </w:drawing>
      </w:r>
    </w:p>
    <w:p>
      <w:pPr>
        <w:spacing w:after="0" w:line="16"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R. Erik Holmlin, Ph.D.</w:t>
      </w:r>
    </w:p>
    <w:p>
      <w:pPr>
        <w:spacing w:after="0" w:line="23"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00"/>
      </w:cols>
      <w:pgMar w:left="320" w:top="121"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2023-06-02T15:15:52Z</dcterms:created>
  <dcterms:modified xsi:type="dcterms:W3CDTF">2023-06-02T15:15:52Z</dcterms:modified>
</cp:coreProperties>
</file>